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2"/>
        <w:shd w:val="clear" w:color="auto"/>
        <w:rPr>
          <w:color w:val="auto"/>
          <w:highlight w:val="none"/>
        </w:rPr>
      </w:pPr>
      <w:r>
        <w:rPr>
          <w:color w:val="auto"/>
          <w:highlight w:val="none"/>
        </w:rPr>
        <w:t xml:space="preserve"> </w:t>
      </w:r>
      <w:r/>
    </w:p>
    <w:p>
      <w:pPr>
        <w:pStyle w:val="744"/>
        <w:jc w:val="right"/>
        <w:spacing w:before="120" w:beforeAutospacing="0" w:after="120" w:afterAutospacing="0" w:line="360" w:lineRule="auto"/>
        <w:shd w:val="clear" w:color="auto"/>
        <w:rPr>
          <w:rFonts w:ascii="Arial" w:hAnsi="Arial" w:cs="Arial"/>
          <w:b/>
          <w:color w:val="auto"/>
          <w:sz w:val="84"/>
          <w:szCs w:val="84"/>
          <w:highlight w:val="none"/>
        </w:rPr>
      </w:pPr>
      <w:r>
        <w:rPr>
          <w:rFonts w:ascii="Arial" w:hAnsi="Arial" w:cs="Arial"/>
          <w:b/>
          <w:color w:val="auto"/>
          <w:sz w:val="84"/>
          <w:szCs w:val="84"/>
          <w:highlight w:val="none"/>
        </w:rPr>
      </w:r>
      <w:r/>
    </w:p>
    <w:p>
      <w:pPr>
        <w:pStyle w:val="744"/>
        <w:jc w:val="center"/>
        <w:spacing w:before="120" w:beforeAutospacing="0" w:after="120" w:afterAutospacing="0" w:line="360" w:lineRule="auto"/>
        <w:shd w:val="clear" w:color="auto"/>
        <w:rPr>
          <w:color w:val="auto"/>
          <w:highlight w:val="none"/>
        </w:rPr>
      </w:pPr>
      <w:r>
        <w:rPr>
          <w:rFonts w:ascii="Arial" w:hAnsi="Arial" w:cs="Arial"/>
          <w:b/>
          <w:color w:val="auto"/>
          <w:sz w:val="84"/>
          <w:szCs w:val="84"/>
          <w:highlight w:val="none"/>
        </w:rPr>
        <w:t xml:space="preserve">招 标 文 件</w:t>
      </w:r>
      <w:r/>
    </w:p>
    <w:p>
      <w:pPr>
        <w:pStyle w:val="744"/>
        <w:jc w:val="center"/>
        <w:spacing w:before="120" w:beforeAutospacing="0" w:after="120" w:afterAutospacing="0" w:line="360" w:lineRule="auto"/>
        <w:shd w:val="clear" w:color="auto"/>
        <w:rPr>
          <w:rFonts w:ascii="Arial" w:hAnsi="Arial" w:cs="Arial"/>
          <w:b/>
          <w:color w:val="auto"/>
          <w:sz w:val="32"/>
          <w:szCs w:val="32"/>
          <w:highlight w:val="none"/>
        </w:rPr>
      </w:pPr>
      <w:r>
        <w:rPr>
          <w:rFonts w:ascii="Arial" w:hAnsi="Arial" w:cs="Arial"/>
          <w:b/>
          <w:color w:val="auto"/>
          <w:sz w:val="32"/>
          <w:szCs w:val="32"/>
          <w:highlight w:val="none"/>
        </w:rPr>
      </w:r>
      <w:r/>
    </w:p>
    <w:p>
      <w:pPr>
        <w:pStyle w:val="744"/>
        <w:jc w:val="center"/>
        <w:spacing w:before="120" w:beforeAutospacing="0" w:after="120" w:afterAutospacing="0" w:line="360" w:lineRule="auto"/>
        <w:shd w:val="clear" w:color="auto"/>
        <w:rPr>
          <w:rFonts w:ascii="Arial" w:hAnsi="Arial" w:cs="Arial"/>
          <w:b/>
          <w:color w:val="auto"/>
          <w:sz w:val="32"/>
          <w:szCs w:val="32"/>
          <w:highlight w:val="none"/>
        </w:rPr>
      </w:pPr>
      <w:r>
        <w:rPr>
          <w:rFonts w:ascii="Arial" w:hAnsi="Arial" w:cs="Arial"/>
          <w:b/>
          <w:color w:val="auto"/>
          <w:sz w:val="32"/>
          <w:szCs w:val="32"/>
          <w:highlight w:val="none"/>
        </w:rPr>
      </w:r>
      <w:r/>
    </w:p>
    <w:p>
      <w:pPr>
        <w:pStyle w:val="744"/>
        <w:jc w:val="center"/>
        <w:spacing w:beforeAutospacing="0" w:afterAutospacing="0"/>
        <w:shd w:val="clear" w:color="auto"/>
        <w:rPr>
          <w:rFonts w:ascii="Times New Roman" w:hAnsi="Times New Roman"/>
          <w:b/>
          <w:color w:val="auto"/>
          <w:sz w:val="32"/>
          <w:szCs w:val="32"/>
          <w:highlight w:val="none"/>
        </w:rPr>
      </w:pPr>
      <w:r>
        <w:rPr>
          <w:rFonts w:ascii="Times New Roman" w:hAnsi="Times New Roman"/>
          <w:b/>
          <w:color w:val="auto"/>
          <w:sz w:val="32"/>
          <w:szCs w:val="32"/>
          <w:highlight w:val="none"/>
        </w:rPr>
      </w:r>
      <w:r/>
    </w:p>
    <w:p>
      <w:pPr>
        <w:pStyle w:val="744"/>
        <w:jc w:val="center"/>
        <w:spacing w:beforeAutospacing="0" w:afterAutospacing="0"/>
        <w:shd w:val="clear" w:color="auto"/>
        <w:rPr>
          <w:rFonts w:hint="default" w:eastAsiaTheme="minorEastAsia"/>
          <w:color w:val="auto"/>
          <w:highlight w:val="none"/>
          <w:lang w:val="en-US" w:eastAsia="zh-CN"/>
        </w:rPr>
      </w:pPr>
      <w:r>
        <w:rPr>
          <w:rFonts w:ascii="Times New Roman" w:hAnsi="Times New Roman"/>
          <w:b/>
          <w:color w:val="auto"/>
          <w:sz w:val="32"/>
          <w:szCs w:val="32"/>
          <w:highlight w:val="none"/>
        </w:rPr>
        <w:t xml:space="preserve">项目编号：</w:t>
      </w:r>
      <w:r>
        <w:rPr>
          <w:rFonts w:hint="eastAsia" w:asciiTheme="minorEastAsia" w:hAnsiTheme="minorEastAsia" w:cstheme="minorEastAsia"/>
          <w:b/>
          <w:bCs/>
          <w:sz w:val="32"/>
          <w:szCs w:val="32"/>
          <w:highlight w:val="none"/>
          <w:lang w:eastAsia="zh-CN"/>
        </w:rPr>
        <w:tab/>
      </w:r>
      <w:r>
        <w:rPr>
          <w:rFonts w:hint="eastAsia" w:asciiTheme="minorEastAsia" w:hAnsiTheme="minorEastAsia" w:cstheme="minorEastAsia"/>
          <w:b/>
          <w:bCs/>
          <w:sz w:val="32"/>
          <w:szCs w:val="32"/>
          <w:highlight w:val="none"/>
          <w:lang w:eastAsia="zh-CN"/>
        </w:rPr>
        <w:t xml:space="preserve">JSZC-320900-JZCG-G2025-0056</w:t>
      </w:r>
      <w:r/>
    </w:p>
    <w:p>
      <w:pPr>
        <w:pStyle w:val="744"/>
        <w:jc w:val="center"/>
        <w:spacing w:before="120" w:beforeAutospacing="0" w:after="120" w:afterAutospacing="0" w:line="360" w:lineRule="auto"/>
        <w:shd w:val="clear" w:color="auto"/>
        <w:rPr>
          <w:rFonts w:ascii="Arial" w:hAnsi="Arial" w:cs="Arial"/>
          <w:b/>
          <w:color w:val="auto"/>
          <w:sz w:val="32"/>
          <w:szCs w:val="32"/>
          <w:highlight w:val="none"/>
        </w:rPr>
      </w:pPr>
      <w:r>
        <w:rPr>
          <w:rFonts w:ascii="Arial" w:hAnsi="Arial" w:cs="Arial"/>
          <w:b/>
          <w:color w:val="auto"/>
          <w:sz w:val="32"/>
          <w:szCs w:val="32"/>
          <w:highlight w:val="none"/>
        </w:rPr>
      </w:r>
      <w:r/>
    </w:p>
    <w:p>
      <w:pPr>
        <w:pStyle w:val="744"/>
        <w:jc w:val="center"/>
        <w:spacing w:before="120" w:beforeAutospacing="0" w:after="120" w:afterAutospacing="0" w:line="360" w:lineRule="auto"/>
        <w:shd w:val="clear" w:color="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Theme="minorEastAsia" w:hAnsiTheme="minorEastAsia" w:cstheme="minorEastAsia"/>
          <w:b/>
          <w:bCs/>
          <w:sz w:val="32"/>
          <w:szCs w:val="32"/>
          <w:highlight w:val="none"/>
          <w:lang w:eastAsia="zh-CN"/>
        </w:rPr>
        <w:t xml:space="preserve">2025年盐城市第一中学物业管理服务项目</w:t>
      </w:r>
      <w:r/>
    </w:p>
    <w:p>
      <w:pPr>
        <w:pStyle w:val="744"/>
        <w:spacing w:beforeAutospacing="0" w:afterAutospacing="0" w:line="360" w:lineRule="auto"/>
        <w:shd w:val="clear" w:color="auto"/>
        <w:rPr>
          <w:color w:val="auto"/>
          <w:highlight w:val="none"/>
        </w:rPr>
      </w:pPr>
      <w:r>
        <w:rPr>
          <w:color w:val="auto"/>
          <w:highlight w:val="none"/>
        </w:rPr>
        <w:t xml:space="preserve"> </w:t>
      </w:r>
      <w:r/>
    </w:p>
    <w:p>
      <w:pPr>
        <w:pStyle w:val="744"/>
        <w:spacing w:beforeAutospacing="0" w:afterAutospacing="0" w:line="360" w:lineRule="auto"/>
        <w:shd w:val="clear" w:color="auto"/>
        <w:rPr>
          <w:color w:val="auto"/>
          <w:highlight w:val="none"/>
        </w:rPr>
      </w:pPr>
      <w:r>
        <w:rPr>
          <w:color w:val="auto"/>
          <w:highlight w:val="none"/>
        </w:rPr>
        <w:t xml:space="preserve"> </w:t>
      </w:r>
      <w:r/>
    </w:p>
    <w:p>
      <w:pPr>
        <w:pStyle w:val="744"/>
        <w:spacing w:beforeAutospacing="0" w:afterAutospacing="0" w:line="360" w:lineRule="auto"/>
        <w:shd w:val="clear" w:color="auto"/>
        <w:rPr>
          <w:color w:val="auto"/>
          <w:highlight w:val="none"/>
        </w:rPr>
      </w:pPr>
      <w:r>
        <w:rPr>
          <w:color w:val="auto"/>
          <w:highlight w:val="none"/>
        </w:rPr>
        <w:t xml:space="preserve">  </w:t>
      </w:r>
      <w:r/>
    </w:p>
    <w:p>
      <w:pPr>
        <w:pStyle w:val="744"/>
        <w:spacing w:beforeAutospacing="0" w:afterAutospacing="0" w:line="360" w:lineRule="auto"/>
        <w:shd w:val="clear" w:color="auto"/>
        <w:rPr>
          <w:color w:val="auto"/>
          <w:highlight w:val="none"/>
        </w:rPr>
      </w:pPr>
      <w:r>
        <w:rPr>
          <w:color w:val="auto"/>
          <w:highlight w:val="none"/>
        </w:rPr>
        <w:t xml:space="preserve"> </w:t>
      </w:r>
      <w:r/>
    </w:p>
    <w:p>
      <w:pPr>
        <w:pStyle w:val="744"/>
        <w:spacing w:beforeAutospacing="0" w:afterAutospacing="0" w:line="360" w:lineRule="auto"/>
        <w:shd w:val="clear" w:color="auto"/>
        <w:rPr>
          <w:color w:val="auto"/>
          <w:highlight w:val="none"/>
        </w:rPr>
      </w:pPr>
      <w:r>
        <w:rPr>
          <w:color w:val="auto"/>
          <w:highlight w:val="none"/>
        </w:rPr>
      </w:r>
      <w:r/>
    </w:p>
    <w:p>
      <w:pPr>
        <w:pStyle w:val="744"/>
        <w:spacing w:beforeAutospacing="0" w:afterAutospacing="0" w:line="360" w:lineRule="auto"/>
        <w:shd w:val="clear" w:color="auto"/>
        <w:rPr>
          <w:color w:val="auto"/>
          <w:highlight w:val="none"/>
        </w:rPr>
      </w:pPr>
      <w:r>
        <w:rPr>
          <w:color w:val="auto"/>
          <w:highlight w:val="none"/>
        </w:rPr>
      </w:r>
      <w:r/>
    </w:p>
    <w:p>
      <w:pPr>
        <w:pStyle w:val="744"/>
        <w:spacing w:beforeAutospacing="0" w:afterAutospacing="0" w:line="360" w:lineRule="auto"/>
        <w:shd w:val="clear" w:color="auto"/>
        <w:rPr>
          <w:color w:val="auto"/>
          <w:highlight w:val="none"/>
        </w:rPr>
      </w:pPr>
      <w:r>
        <w:rPr>
          <w:color w:val="auto"/>
          <w:highlight w:val="none"/>
        </w:rPr>
      </w:r>
      <w:r/>
    </w:p>
    <w:p>
      <w:pPr>
        <w:pStyle w:val="744"/>
        <w:jc w:val="center"/>
        <w:keepLines w:val="0"/>
        <w:keepNext w:val="0"/>
        <w:pageBreakBefore w:val="0"/>
        <w:spacing w:before="120" w:beforeAutospacing="0" w:after="120" w:afterAutospacing="0" w:line="400" w:lineRule="exact"/>
        <w:shd w:val="clear" w:color="auto"/>
        <w:widowControl w:val="off"/>
        <w:rPr>
          <w:rFonts w:hint="eastAsia" w:ascii="黑体" w:hAnsi="黑体" w:eastAsia="黑体" w:cs="黑体"/>
          <w:bCs/>
          <w:color w:val="auto"/>
          <w:sz w:val="32"/>
          <w:szCs w:val="32"/>
          <w:highlight w:val="none"/>
          <w:lang w:eastAsia="zh-CN"/>
        </w:rPr>
      </w:pPr>
      <w:r>
        <w:rPr>
          <w:rFonts w:hint="eastAsia" w:ascii="黑体" w:hAnsi="黑体" w:eastAsia="黑体" w:cs="黑体"/>
          <w:bCs/>
          <w:color w:val="auto"/>
          <w:sz w:val="32"/>
          <w:szCs w:val="32"/>
          <w:highlight w:val="none"/>
          <w:lang w:eastAsia="zh-CN"/>
        </w:rPr>
        <w:t xml:space="preserve">盐城市第一中学</w:t>
      </w:r>
      <w:r/>
    </w:p>
    <w:p>
      <w:pPr>
        <w:pStyle w:val="744"/>
        <w:jc w:val="center"/>
        <w:keepLines w:val="0"/>
        <w:keepNext w:val="0"/>
        <w:pageBreakBefore w:val="0"/>
        <w:spacing w:before="120" w:beforeAutospacing="0" w:after="120" w:afterAutospacing="0" w:line="400" w:lineRule="exact"/>
        <w:shd w:val="clear" w:color="auto"/>
        <w:widowControl w:val="off"/>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202</w:t>
      </w:r>
      <w:r>
        <w:rPr>
          <w:rFonts w:hint="eastAsia" w:ascii="黑体" w:hAnsi="黑体" w:eastAsia="黑体" w:cs="黑体"/>
          <w:bCs/>
          <w:color w:val="auto"/>
          <w:sz w:val="32"/>
          <w:szCs w:val="32"/>
          <w:highlight w:val="none"/>
          <w:lang w:val="en-US" w:eastAsia="zh-CN"/>
        </w:rPr>
        <w:t xml:space="preserve">5</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11</w:t>
      </w:r>
      <w:r>
        <w:rPr>
          <w:rFonts w:hint="eastAsia" w:ascii="黑体" w:hAnsi="黑体" w:eastAsia="黑体" w:cs="黑体"/>
          <w:bCs/>
          <w:color w:val="auto"/>
          <w:sz w:val="32"/>
          <w:szCs w:val="32"/>
          <w:highlight w:val="none"/>
        </w:rPr>
        <w:t xml:space="preserve">月</w:t>
      </w:r>
      <w:r/>
    </w:p>
    <w:p>
      <w:pPr>
        <w:pStyle w:val="744"/>
        <w:jc w:val="center"/>
        <w:spacing w:before="120" w:beforeAutospacing="0" w:after="120" w:afterAutospacing="0" w:line="360" w:lineRule="auto"/>
        <w:shd w:val="clear" w:color="auto"/>
        <w:rPr>
          <w:color w:val="auto"/>
          <w:highlight w:val="none"/>
        </w:rPr>
      </w:pPr>
      <w:r>
        <w:rPr>
          <w:color w:val="auto"/>
          <w:highlight w:val="none"/>
        </w:rPr>
        <w:t xml:space="preserve"> </w:t>
      </w:r>
      <w:r/>
    </w:p>
    <w:p>
      <w:pPr>
        <w:pStyle w:val="744"/>
        <w:jc w:val="both"/>
        <w:spacing w:beforeAutospacing="0" w:afterAutospacing="0"/>
        <w:shd w:val="clear" w:color="auto"/>
        <w:rPr>
          <w:color w:val="auto"/>
          <w:highlight w:val="none"/>
        </w:rPr>
        <w:sectPr>
          <w:headerReference w:type="default" r:id="rId9"/>
          <w:footnotePr/>
          <w:endnotePr/>
          <w:type w:val="nextPage"/>
          <w:pgSz w:w="11906" w:h="16838" w:orient="portrait"/>
          <w:pgMar w:top="1440" w:right="1633" w:bottom="1440" w:left="1633" w:header="851" w:footer="992" w:gutter="0"/>
          <w:cols w:num="1" w:sep="0" w:space="425" w:equalWidth="1"/>
          <w:docGrid w:linePitch="360"/>
        </w:sectPr>
      </w:pPr>
      <w:r>
        <w:rPr>
          <w:color w:val="auto"/>
          <w:highlight w:val="none"/>
        </w:rPr>
      </w:r>
      <w:r/>
    </w:p>
    <w:p>
      <w:pPr>
        <w:pStyle w:val="744"/>
        <w:jc w:val="both"/>
        <w:spacing w:beforeAutospacing="0" w:afterAutospacing="0"/>
        <w:shd w:val="clear" w:color="auto"/>
        <w:rPr>
          <w:color w:val="auto"/>
          <w:highlight w:val="none"/>
        </w:rPr>
      </w:pPr>
      <w:r>
        <w:rPr>
          <w:color w:val="auto"/>
          <w:highlight w:val="none"/>
        </w:rPr>
        <w:t xml:space="preserve"> </w:t>
      </w:r>
      <w:r/>
    </w:p>
    <w:p>
      <w:pPr>
        <w:ind w:firstLine="0"/>
        <w:jc w:val="center"/>
        <w:spacing w:line="240" w:lineRule="auto"/>
        <w:shd w:val="clear" w:color="auto"/>
        <w:rPr>
          <w:rFonts w:hint="eastAsia" w:ascii="黑体" w:hAnsi="黑体" w:eastAsia="黑体" w:cs="黑体"/>
          <w:bCs/>
          <w:color w:val="auto"/>
          <w:sz w:val="36"/>
          <w:szCs w:val="36"/>
          <w:highlight w:val="none"/>
        </w:rPr>
      </w:pPr>
      <w:r>
        <w:rPr>
          <w:rFonts w:hint="eastAsia" w:ascii="黑体" w:hAnsi="黑体" w:eastAsia="黑体" w:cs="黑体"/>
          <w:bCs/>
          <w:color w:val="auto"/>
          <w:sz w:val="44"/>
          <w:szCs w:val="24"/>
          <w:highlight w:val="none"/>
        </w:rPr>
        <w:t xml:space="preserve">总  目  录</w:t>
      </w:r>
      <w:r/>
    </w:p>
    <w:p>
      <w:pPr>
        <w:ind w:firstLine="0"/>
        <w:jc w:val="both"/>
        <w:shd w:val="clear" w:color="auto"/>
        <w:rPr>
          <w:rFonts w:hint="eastAsia"/>
          <w:b/>
          <w:color w:val="auto"/>
          <w:sz w:val="28"/>
          <w:szCs w:val="24"/>
          <w:highlight w:val="none"/>
        </w:rPr>
      </w:pPr>
      <w:r>
        <w:rPr>
          <w:rFonts w:hint="eastAsia"/>
          <w:b/>
          <w:color w:val="auto"/>
          <w:sz w:val="28"/>
          <w:szCs w:val="24"/>
          <w:highlight w:val="none"/>
        </w:rPr>
      </w:r>
      <w:r/>
    </w:p>
    <w:p>
      <w:pPr>
        <w:numPr>
          <w:ilvl w:val="0"/>
          <w:numId w:val="1"/>
        </w:numPr>
        <w:ind w:left="1856" w:hanging="1018"/>
        <w:jc w:val="both"/>
        <w:spacing w:line="560" w:lineRule="exact"/>
        <w:shd w:val="clear" w:color="auto"/>
        <w:rPr>
          <w:rFonts w:ascii="黑体" w:hAnsi="Showcard Gothic" w:eastAsia="黑体" w:cs="Times New Roman"/>
          <w:color w:val="auto"/>
          <w:sz w:val="36"/>
          <w:szCs w:val="24"/>
          <w:highlight w:val="none"/>
        </w:rPr>
        <w:outlineLvl w:val="0"/>
      </w:pPr>
      <w:r>
        <w:rPr>
          <w:rFonts w:hint="eastAsia" w:ascii="黑体" w:hAnsi="Showcard Gothic" w:eastAsia="黑体" w:cs="Times New Roman"/>
          <w:color w:val="auto"/>
          <w:sz w:val="36"/>
          <w:szCs w:val="24"/>
          <w:highlight w:val="none"/>
          <w:lang w:val="en-US" w:eastAsia="zh-CN"/>
        </w:rPr>
        <w:t xml:space="preserve"> </w:t>
      </w:r>
      <w:r>
        <w:rPr>
          <w:rFonts w:hint="eastAsia" w:ascii="黑体" w:hAnsi="Showcard Gothic" w:eastAsia="黑体" w:cs="Times New Roman"/>
          <w:color w:val="auto"/>
          <w:sz w:val="36"/>
          <w:szCs w:val="24"/>
          <w:highlight w:val="none"/>
        </w:rPr>
        <w:t xml:space="preserve">招标公告………………………………2</w:t>
      </w:r>
      <w:r/>
    </w:p>
    <w:p>
      <w:pPr>
        <w:numPr>
          <w:ilvl w:val="0"/>
          <w:numId w:val="1"/>
        </w:numPr>
        <w:ind w:left="1856" w:hanging="1018"/>
        <w:jc w:val="both"/>
        <w:spacing w:line="560" w:lineRule="exact"/>
        <w:shd w:val="clear" w:color="auto"/>
        <w:rPr>
          <w:rFonts w:ascii="黑体" w:hAnsi="Showcard Gothic" w:eastAsia="黑体" w:cs="Times New Roman"/>
          <w:color w:val="auto"/>
          <w:sz w:val="36"/>
          <w:szCs w:val="24"/>
          <w:highlight w:val="none"/>
        </w:rPr>
        <w:outlineLvl w:val="0"/>
      </w:pPr>
      <w:r>
        <w:rPr>
          <w:rFonts w:hint="eastAsia" w:ascii="黑体" w:hAnsi="Showcard Gothic" w:eastAsia="黑体" w:cs="Times New Roman"/>
          <w:color w:val="auto"/>
          <w:sz w:val="36"/>
          <w:szCs w:val="24"/>
          <w:highlight w:val="none"/>
          <w:lang w:val="en-US" w:eastAsia="zh-CN"/>
        </w:rPr>
        <w:t xml:space="preserve"> 投标人</w:t>
      </w:r>
      <w:r>
        <w:rPr>
          <w:rFonts w:hint="eastAsia" w:ascii="黑体" w:hAnsi="Showcard Gothic" w:eastAsia="黑体" w:cs="Times New Roman"/>
          <w:color w:val="auto"/>
          <w:sz w:val="36"/>
          <w:szCs w:val="24"/>
          <w:highlight w:val="none"/>
        </w:rPr>
        <w:t xml:space="preserve">须知……………………………6</w:t>
      </w:r>
      <w:r/>
    </w:p>
    <w:p>
      <w:pPr>
        <w:numPr>
          <w:ilvl w:val="0"/>
          <w:numId w:val="1"/>
        </w:numPr>
        <w:ind w:left="1856" w:hanging="1018"/>
        <w:jc w:val="both"/>
        <w:spacing w:line="560" w:lineRule="exact"/>
        <w:shd w:val="clear" w:color="auto"/>
        <w:rPr>
          <w:rFonts w:ascii="黑体" w:hAnsi="Showcard Gothic" w:eastAsia="黑体" w:cs="Times New Roman"/>
          <w:color w:val="auto"/>
          <w:sz w:val="36"/>
          <w:szCs w:val="24"/>
          <w:highlight w:val="none"/>
        </w:rPr>
        <w:outlineLvl w:val="0"/>
      </w:pPr>
      <w:r>
        <w:rPr>
          <w:rFonts w:hint="eastAsia" w:ascii="黑体" w:hAnsi="Showcard Gothic" w:eastAsia="黑体" w:cs="Times New Roman"/>
          <w:color w:val="auto"/>
          <w:sz w:val="36"/>
          <w:szCs w:val="24"/>
          <w:highlight w:val="none"/>
          <w:lang w:val="en-US" w:eastAsia="zh-CN"/>
        </w:rPr>
        <w:t xml:space="preserve"> </w:t>
      </w:r>
      <w:r>
        <w:rPr>
          <w:rFonts w:hint="eastAsia" w:ascii="黑体" w:hAnsi="Showcard Gothic" w:eastAsia="黑体" w:cs="Times New Roman"/>
          <w:color w:val="auto"/>
          <w:sz w:val="36"/>
          <w:szCs w:val="24"/>
          <w:highlight w:val="none"/>
        </w:rPr>
        <w:t xml:space="preserve">合同文本………………………………</w:t>
      </w:r>
      <w:r>
        <w:rPr>
          <w:rFonts w:hint="eastAsia" w:ascii="黑体" w:hAnsi="Showcard Gothic" w:eastAsia="黑体" w:cs="Times New Roman"/>
          <w:color w:val="auto"/>
          <w:sz w:val="36"/>
          <w:szCs w:val="24"/>
          <w:highlight w:val="none"/>
          <w:lang w:val="en-US" w:eastAsia="zh-CN"/>
        </w:rPr>
        <w:t xml:space="preserve">25</w:t>
      </w:r>
      <w:r/>
    </w:p>
    <w:p>
      <w:pPr>
        <w:ind w:left="1856" w:hanging="1018"/>
        <w:jc w:val="both"/>
        <w:spacing w:line="560" w:lineRule="exact"/>
        <w:shd w:val="clear" w:color="auto"/>
        <w:rPr>
          <w:rFonts w:hint="default" w:ascii="黑体" w:hAnsi="Showcard Gothic" w:eastAsia="黑体" w:cs="Times New Roman"/>
          <w:color w:val="auto"/>
          <w:sz w:val="36"/>
          <w:szCs w:val="24"/>
          <w:highlight w:val="none"/>
          <w:lang w:val="en-US" w:eastAsia="zh-CN"/>
        </w:rPr>
        <w:outlineLvl w:val="0"/>
      </w:pPr>
      <w:r>
        <w:rPr>
          <w:rFonts w:hint="eastAsia" w:ascii="黑体" w:hAnsi="Showcard Gothic" w:eastAsia="黑体" w:cs="Times New Roman"/>
          <w:color w:val="auto"/>
          <w:sz w:val="36"/>
          <w:szCs w:val="24"/>
          <w:highlight w:val="none"/>
        </w:rPr>
        <w:t xml:space="preserve">第四章 </w:t>
      </w:r>
      <w:r>
        <w:rPr>
          <w:rFonts w:hint="eastAsia" w:ascii="黑体" w:hAnsi="Showcard Gothic" w:eastAsia="黑体" w:cs="Times New Roman"/>
          <w:color w:val="auto"/>
          <w:sz w:val="36"/>
          <w:szCs w:val="24"/>
          <w:highlight w:val="none"/>
          <w:lang w:val="en-US" w:eastAsia="zh-CN"/>
        </w:rPr>
        <w:t xml:space="preserve"> </w:t>
      </w:r>
      <w:r>
        <w:rPr>
          <w:rFonts w:hint="eastAsia" w:ascii="黑体" w:hAnsi="Showcard Gothic" w:eastAsia="黑体" w:cs="Times New Roman"/>
          <w:color w:val="auto"/>
          <w:sz w:val="36"/>
          <w:szCs w:val="24"/>
          <w:highlight w:val="none"/>
        </w:rPr>
        <w:t xml:space="preserve">采购需求………………………………</w:t>
      </w:r>
      <w:r>
        <w:rPr>
          <w:rFonts w:hint="eastAsia" w:ascii="黑体" w:hAnsi="Showcard Gothic" w:eastAsia="黑体" w:cs="Times New Roman"/>
          <w:color w:val="auto"/>
          <w:sz w:val="36"/>
          <w:szCs w:val="24"/>
          <w:highlight w:val="none"/>
          <w:lang w:val="en-US" w:eastAsia="zh-CN"/>
        </w:rPr>
        <w:t xml:space="preserve">46</w:t>
      </w:r>
      <w:r/>
    </w:p>
    <w:p>
      <w:pPr>
        <w:ind w:left="1856" w:hanging="1018"/>
        <w:jc w:val="both"/>
        <w:spacing w:line="560" w:lineRule="exact"/>
        <w:shd w:val="clear" w:color="auto"/>
        <w:rPr>
          <w:rFonts w:hint="default" w:ascii="黑体" w:hAnsi="Showcard Gothic" w:eastAsia="黑体" w:cs="Times New Roman"/>
          <w:color w:val="auto"/>
          <w:sz w:val="36"/>
          <w:szCs w:val="24"/>
          <w:highlight w:val="none"/>
          <w:lang w:val="en-US" w:eastAsia="zh-CN"/>
        </w:rPr>
        <w:outlineLvl w:val="0"/>
      </w:pPr>
      <w:r>
        <w:rPr>
          <w:rFonts w:hint="eastAsia" w:ascii="黑体" w:hAnsi="Showcard Gothic" w:eastAsia="黑体" w:cs="Times New Roman"/>
          <w:color w:val="auto"/>
          <w:sz w:val="36"/>
          <w:szCs w:val="24"/>
          <w:highlight w:val="none"/>
        </w:rPr>
        <w:t xml:space="preserve">第五章 </w:t>
      </w:r>
      <w:r>
        <w:rPr>
          <w:rFonts w:hint="eastAsia" w:ascii="黑体" w:hAnsi="Showcard Gothic" w:eastAsia="黑体" w:cs="Times New Roman"/>
          <w:color w:val="auto"/>
          <w:sz w:val="36"/>
          <w:szCs w:val="24"/>
          <w:highlight w:val="none"/>
          <w:lang w:val="en-US" w:eastAsia="zh-CN"/>
        </w:rPr>
        <w:t xml:space="preserve"> </w:t>
      </w:r>
      <w:r>
        <w:rPr>
          <w:rFonts w:hint="eastAsia" w:ascii="黑体" w:hAnsi="Showcard Gothic" w:eastAsia="黑体" w:cs="Times New Roman"/>
          <w:color w:val="auto"/>
          <w:sz w:val="36"/>
          <w:szCs w:val="24"/>
          <w:highlight w:val="none"/>
        </w:rPr>
        <w:t xml:space="preserve">评标方法与评标标准…………………</w:t>
      </w:r>
      <w:r>
        <w:rPr>
          <w:rFonts w:hint="eastAsia" w:ascii="黑体" w:hAnsi="Showcard Gothic" w:eastAsia="黑体" w:cs="Times New Roman"/>
          <w:color w:val="auto"/>
          <w:sz w:val="36"/>
          <w:szCs w:val="24"/>
          <w:highlight w:val="none"/>
          <w:lang w:val="en-US" w:eastAsia="zh-CN"/>
        </w:rPr>
        <w:t xml:space="preserve">67</w:t>
      </w:r>
      <w:r/>
    </w:p>
    <w:p>
      <w:pPr>
        <w:ind w:left="1856" w:hanging="1018"/>
        <w:jc w:val="both"/>
        <w:spacing w:line="560" w:lineRule="exact"/>
        <w:shd w:val="clear" w:color="auto"/>
        <w:rPr>
          <w:rFonts w:hint="default" w:ascii="黑体" w:hAnsi="Showcard Gothic" w:eastAsia="黑体" w:cs="Times New Roman"/>
          <w:color w:val="auto"/>
          <w:sz w:val="36"/>
          <w:szCs w:val="24"/>
          <w:highlight w:val="none"/>
          <w:lang w:val="en-US" w:eastAsia="zh-CN"/>
        </w:rPr>
        <w:outlineLvl w:val="0"/>
      </w:pPr>
      <w:r>
        <w:rPr>
          <w:rFonts w:hint="eastAsia" w:ascii="黑体" w:hAnsi="Showcard Gothic" w:eastAsia="黑体" w:cs="Times New Roman"/>
          <w:color w:val="auto"/>
          <w:sz w:val="36"/>
          <w:szCs w:val="24"/>
          <w:highlight w:val="none"/>
        </w:rPr>
        <w:t xml:space="preserve">第六章 </w:t>
      </w:r>
      <w:r>
        <w:rPr>
          <w:rFonts w:hint="eastAsia" w:ascii="黑体" w:hAnsi="Showcard Gothic" w:eastAsia="黑体" w:cs="Times New Roman"/>
          <w:color w:val="auto"/>
          <w:sz w:val="36"/>
          <w:szCs w:val="24"/>
          <w:highlight w:val="none"/>
          <w:lang w:val="en-US" w:eastAsia="zh-CN"/>
        </w:rPr>
        <w:t xml:space="preserve"> </w:t>
      </w:r>
      <w:r>
        <w:rPr>
          <w:rFonts w:hint="eastAsia" w:ascii="黑体" w:hAnsi="Showcard Gothic" w:eastAsia="黑体" w:cs="Times New Roman"/>
          <w:color w:val="auto"/>
          <w:sz w:val="36"/>
          <w:szCs w:val="24"/>
          <w:highlight w:val="none"/>
        </w:rPr>
        <w:t xml:space="preserve">投标文件格式…………………………</w:t>
      </w:r>
      <w:r>
        <w:rPr>
          <w:rFonts w:hint="eastAsia" w:ascii="黑体" w:hAnsi="Showcard Gothic" w:eastAsia="黑体" w:cs="Times New Roman"/>
          <w:color w:val="auto"/>
          <w:sz w:val="36"/>
          <w:szCs w:val="24"/>
          <w:highlight w:val="none"/>
          <w:lang w:val="en-US" w:eastAsia="zh-CN"/>
        </w:rPr>
        <w:t xml:space="preserve">73</w:t>
      </w:r>
      <w:r/>
    </w:p>
    <w:p>
      <w:pPr>
        <w:ind w:firstLine="420"/>
        <w:jc w:val="both"/>
        <w:spacing w:after="200" w:line="600" w:lineRule="exact"/>
        <w:shd w:val="clear" w:color="auto"/>
        <w:widowControl/>
        <w:tabs>
          <w:tab w:val="left" w:pos="1440" w:leader="none"/>
        </w:tabs>
        <w:rPr>
          <w:rFonts w:ascii="黑体" w:hAnsi="Showcard Gothic" w:eastAsia="黑体" w:cs="Times New Roman"/>
          <w:color w:val="auto"/>
          <w:sz w:val="28"/>
          <w:szCs w:val="22"/>
          <w:highlight w:val="none"/>
        </w:rPr>
      </w:pPr>
      <w:r>
        <w:rPr>
          <w:rFonts w:ascii="黑体" w:hAnsi="Showcard Gothic" w:eastAsia="黑体" w:cs="Times New Roman"/>
          <w:color w:val="auto"/>
          <w:sz w:val="28"/>
          <w:szCs w:val="22"/>
          <w:highlight w:val="none"/>
        </w:rPr>
      </w:r>
      <w:r/>
    </w:p>
    <w:p>
      <w:pPr>
        <w:pStyle w:val="744"/>
        <w:jc w:val="both"/>
        <w:spacing w:beforeAutospacing="0" w:afterAutospacing="0"/>
        <w:shd w:val="clear" w:color="auto"/>
        <w:rPr>
          <w:color w:val="auto"/>
          <w:highlight w:val="none"/>
        </w:rPr>
      </w:pPr>
      <w:r>
        <w:rPr>
          <w:color w:val="auto"/>
          <w:highlight w:val="none"/>
        </w:rPr>
      </w:r>
      <w:r/>
    </w:p>
    <w:p>
      <w:pPr>
        <w:shd w:val="clear" w:color="auto"/>
        <w:rPr>
          <w:rFonts w:hint="eastAsia" w:asciiTheme="minorHAnsi" w:hAnsiTheme="minorHAnsi" w:eastAsiaTheme="minorEastAsia" w:cstheme="minorBidi"/>
          <w:sz w:val="21"/>
          <w:szCs w:val="24"/>
          <w:highlight w:val="none"/>
          <w:lang w:val="en-US" w:eastAsia="zh-CN" w:bidi="ar-SA"/>
        </w:rPr>
      </w:pPr>
      <w:r>
        <w:rPr>
          <w:rFonts w:hint="eastAsia" w:ascii="黑体" w:hAnsi="宋体" w:eastAsia="黑体" w:cs="黑体"/>
          <w:color w:val="auto"/>
          <w:sz w:val="44"/>
          <w:szCs w:val="44"/>
          <w:highlight w:val="none"/>
        </w:rPr>
        <w:br w:type="page" w:clear="all"/>
      </w:r>
      <w:r/>
    </w:p>
    <w:p>
      <w:pPr>
        <w:jc w:val="left"/>
        <w:rPr>
          <w:rFonts w:hint="eastAsia" w:asciiTheme="minorHAnsi" w:hAnsiTheme="minorHAnsi" w:eastAsiaTheme="minorEastAsia" w:cstheme="minorBidi"/>
          <w:sz w:val="21"/>
          <w:szCs w:val="24"/>
          <w:highlight w:val="none"/>
          <w:lang w:val="en-US" w:eastAsia="zh-CN" w:bidi="ar-SA"/>
        </w:rPr>
      </w:pPr>
      <w:r>
        <w:rPr>
          <w:rFonts w:hint="eastAsia" w:asciiTheme="minorHAnsi" w:hAnsiTheme="minorHAnsi" w:eastAsiaTheme="minorEastAsia" w:cstheme="minorBidi"/>
          <w:sz w:val="21"/>
          <w:szCs w:val="24"/>
          <w:highlight w:val="none"/>
          <w:lang w:val="en-US" w:eastAsia="zh-CN" w:bidi="ar-SA"/>
        </w:rPr>
      </w:r>
      <w:r/>
    </w:p>
    <w:p>
      <w:pPr>
        <w:numPr>
          <w:ilvl w:val="0"/>
          <w:numId w:val="2"/>
        </w:numPr>
        <w:jc w:val="center"/>
        <w:shd w:val="clear" w:color="auto"/>
        <w:widowControl/>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招标公告</w:t>
      </w:r>
      <w:r/>
    </w:p>
    <w:p>
      <w:pPr>
        <w:numPr>
          <w:ilvl w:val="0"/>
          <w:numId w:val="0"/>
        </w:numPr>
        <w:jc w:val="both"/>
        <w:keepLines w:val="0"/>
        <w:keepNext w:val="0"/>
        <w:pageBreakBefore w:val="0"/>
        <w:spacing w:line="200" w:lineRule="exact"/>
        <w:shd w:val="clear" w:color="auto"/>
        <w:widowControl/>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ind w:firstLine="480"/>
        <w:jc w:val="left"/>
        <w:spacing w:line="560" w:lineRule="exact"/>
        <w:shd w:val="clear" w:color="auto"/>
        <w:widowControl/>
        <w:rPr>
          <w:rFonts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0"/>
        <w:jc w:val="left"/>
        <w:spacing w:line="560" w:lineRule="exact"/>
        <w:shd w:val="clear" w:color="auto"/>
        <w:widowControl/>
        <w:rPr>
          <w:rFonts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lang w:eastAsia="zh-CN"/>
        </w:rPr>
        <w:t xml:space="preserve">2025年盐城市第一中学物业管理服务项目</w:t>
      </w:r>
      <w:r>
        <w:rPr>
          <w:rFonts w:hint="eastAsia" w:ascii="宋体" w:hAnsi="宋体" w:eastAsia="宋体" w:cs="宋体"/>
          <w:color w:val="auto"/>
          <w:sz w:val="24"/>
          <w:szCs w:val="20"/>
          <w:highlight w:val="none"/>
        </w:rPr>
        <w:t xml:space="preserve">的潜在投标人可在“苏采云”系统内免费下载（投标人必须在苏采云系统中获取采购文件，方能参与政府采购项目），并于</w:t>
      </w:r>
      <w:r>
        <w:rPr>
          <w:rFonts w:hint="eastAsia" w:ascii="宋体" w:hAnsi="宋体" w:eastAsia="宋体" w:cs="宋体"/>
          <w:color w:val="000000" w:themeColor="text1"/>
          <w:sz w:val="24"/>
          <w:szCs w:val="20"/>
          <w:highlight w:val="none"/>
          <w:lang w:val="en-US" w:eastAsia="zh-CN"/>
        </w:rPr>
        <w:t xml:space="preserve">2025</w:t>
      </w:r>
      <w:r>
        <w:rPr>
          <w:rFonts w:hint="eastAsia" w:ascii="宋体" w:hAnsi="宋体" w:eastAsia="宋体" w:cs="宋体"/>
          <w:color w:val="000000" w:themeColor="text1"/>
          <w:sz w:val="24"/>
          <w:szCs w:val="20"/>
          <w:highlight w:val="none"/>
        </w:rPr>
        <w:t xml:space="preserve">年</w:t>
      </w:r>
      <w:r>
        <w:rPr>
          <w:rFonts w:hint="eastAsia" w:ascii="宋体" w:hAnsi="宋体" w:eastAsia="宋体" w:cs="宋体"/>
          <w:color w:val="000000" w:themeColor="text1"/>
          <w:sz w:val="24"/>
          <w:szCs w:val="20"/>
          <w:highlight w:val="none"/>
          <w:lang w:val="en-US" w:eastAsia="zh-CN"/>
        </w:rPr>
        <w:t xml:space="preserve">12月9</w:t>
      </w:r>
      <w:r>
        <w:rPr>
          <w:rFonts w:hint="eastAsia" w:ascii="宋体" w:hAnsi="宋体" w:eastAsia="宋体" w:cs="宋体"/>
          <w:color w:val="000000" w:themeColor="text1"/>
          <w:sz w:val="24"/>
          <w:szCs w:val="20"/>
          <w:highlight w:val="none"/>
        </w:rPr>
        <w:t xml:space="preserve">日</w:t>
      </w:r>
      <w:r>
        <w:rPr>
          <w:rFonts w:hint="eastAsia" w:ascii="宋体" w:hAnsi="宋体" w:eastAsia="宋体" w:cs="宋体"/>
          <w:color w:val="000000" w:themeColor="text1"/>
          <w:sz w:val="24"/>
          <w:szCs w:val="20"/>
          <w:highlight w:val="none"/>
          <w:lang w:val="en-US" w:eastAsia="zh-CN"/>
        </w:rPr>
        <w:t xml:space="preserve">9</w:t>
      </w:r>
      <w:r>
        <w:rPr>
          <w:rFonts w:hint="eastAsia" w:ascii="宋体" w:hAnsi="宋体" w:eastAsia="宋体" w:cs="宋体"/>
          <w:color w:val="000000" w:themeColor="text1"/>
          <w:sz w:val="24"/>
          <w:szCs w:val="20"/>
          <w:highlight w:val="none"/>
        </w:rPr>
        <w:t xml:space="preserve">点</w:t>
      </w:r>
      <w:r>
        <w:rPr>
          <w:rFonts w:hint="eastAsia" w:ascii="宋体" w:hAnsi="宋体" w:eastAsia="宋体" w:cs="宋体"/>
          <w:color w:val="000000" w:themeColor="text1"/>
          <w:sz w:val="24"/>
          <w:szCs w:val="20"/>
          <w:highlight w:val="none"/>
          <w:lang w:val="en-US" w:eastAsia="zh-CN"/>
        </w:rPr>
        <w:t xml:space="preserve">30</w:t>
      </w:r>
      <w:r>
        <w:rPr>
          <w:rFonts w:hint="eastAsia" w:ascii="宋体" w:hAnsi="宋体" w:eastAsia="宋体" w:cs="宋体"/>
          <w:color w:val="000000" w:themeColor="text1"/>
          <w:sz w:val="24"/>
          <w:szCs w:val="20"/>
          <w:highlight w:val="none"/>
        </w:rPr>
        <w:t xml:space="preserve">分</w:t>
      </w:r>
      <w:r>
        <w:rPr>
          <w:rFonts w:hint="eastAsia" w:ascii="宋体" w:hAnsi="宋体" w:eastAsia="宋体" w:cs="宋体"/>
          <w:color w:val="auto"/>
          <w:sz w:val="24"/>
          <w:szCs w:val="20"/>
          <w:highlight w:val="none"/>
        </w:rPr>
        <w:t xml:space="preserve">（北京时间）前递交投标文件。</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0" w:name="_Hlk24379207"/>
      <w:r/>
      <w:bookmarkStart w:id="1" w:name="_Toc35393790"/>
      <w:r/>
      <w:bookmarkStart w:id="2" w:name="_Toc28359002"/>
      <w:r/>
      <w:bookmarkStart w:id="3" w:name="_Toc38985263"/>
      <w:r/>
      <w:bookmarkStart w:id="4" w:name="_Toc28359079"/>
      <w:r/>
      <w:bookmarkStart w:id="5" w:name="_Toc35393621"/>
      <w:r>
        <w:rPr>
          <w:rFonts w:hint="eastAsia" w:ascii="宋体" w:hAnsi="宋体" w:eastAsia="宋体" w:cs="宋体"/>
          <w:b/>
          <w:bCs/>
          <w:color w:val="auto"/>
          <w:sz w:val="24"/>
          <w:szCs w:val="20"/>
          <w:highlight w:val="none"/>
        </w:rPr>
        <w:t xml:space="preserve">一、项目基本情况</w:t>
      </w:r>
      <w:bookmarkEnd w:id="0"/>
      <w:r/>
      <w:bookmarkEnd w:id="1"/>
      <w:r/>
      <w:bookmarkEnd w:id="2"/>
      <w:r/>
      <w:bookmarkEnd w:id="3"/>
      <w:r/>
      <w:bookmarkEnd w:id="4"/>
      <w:r/>
      <w:bookmarkEnd w:id="5"/>
      <w:r/>
      <w:r/>
    </w:p>
    <w:p>
      <w:pPr>
        <w:ind w:firstLine="482"/>
        <w:jc w:val="left"/>
        <w:keepLines w:val="0"/>
        <w:keepNext w:val="0"/>
        <w:pageBreakBefore w:val="0"/>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0"/>
          <w:highlight w:val="none"/>
          <w:lang w:eastAsia="zh-CN"/>
        </w:rPr>
        <w:t xml:space="preserve">JSZC-320900-JZCG-G2025-0056</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2025年盐城市第一中学物业管理服务项目</w:t>
      </w:r>
      <w:r/>
    </w:p>
    <w:p>
      <w:pPr>
        <w:ind w:firstLine="482"/>
        <w:jc w:val="left"/>
        <w:keepLines w:val="0"/>
        <w:keepNext w:val="0"/>
        <w:pageBreakBefore w:val="0"/>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4.预算金额：</w:t>
      </w:r>
      <w:r>
        <w:rPr>
          <w:rFonts w:hint="eastAsia" w:ascii="宋体" w:hAnsi="宋体" w:eastAsia="宋体" w:cs="宋体"/>
          <w:color w:val="auto"/>
          <w:sz w:val="24"/>
          <w:szCs w:val="20"/>
          <w:highlight w:val="none"/>
          <w:lang w:eastAsia="zh-CN"/>
        </w:rPr>
        <w:t xml:space="preserve">168万元</w:t>
      </w:r>
      <w:r/>
    </w:p>
    <w:p>
      <w:pPr>
        <w:ind w:firstLine="482"/>
        <w:jc w:val="left"/>
        <w:keepLines w:val="0"/>
        <w:keepNext w:val="0"/>
        <w:pageBreakBefore w:val="0"/>
        <w:spacing w:line="560" w:lineRule="exact"/>
        <w:shd w:val="clear" w:color="auto"/>
        <w:widowControl/>
        <w:rPr>
          <w:rFonts w:hint="default" w:ascii="宋体" w:hAnsi="宋体" w:eastAsia="宋体" w:cs="宋体"/>
          <w:color w:val="auto"/>
          <w:sz w:val="24"/>
          <w:szCs w:val="20"/>
          <w:highlight w:val="none"/>
          <w:lang w:val="en-US"/>
        </w:rPr>
      </w:pPr>
      <w:r>
        <w:rPr>
          <w:rFonts w:hint="eastAsia" w:ascii="宋体" w:hAnsi="宋体" w:eastAsia="宋体" w:cs="宋体"/>
          <w:color w:val="auto"/>
          <w:sz w:val="24"/>
          <w:szCs w:val="20"/>
          <w:highlight w:val="none"/>
        </w:rPr>
        <w:t xml:space="preserve">5.最高限价：</w:t>
      </w:r>
      <w:r>
        <w:rPr>
          <w:rFonts w:hint="eastAsia" w:ascii="宋体" w:hAnsi="宋体" w:eastAsia="宋体" w:cs="宋体"/>
          <w:color w:val="auto"/>
          <w:sz w:val="24"/>
          <w:szCs w:val="20"/>
          <w:highlight w:val="none"/>
          <w:lang w:val="en-US" w:eastAsia="zh-CN"/>
        </w:rPr>
        <w:t xml:space="preserve">168万元</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r>
        <w:rPr>
          <w:rFonts w:hint="eastAsia" w:ascii="宋体" w:hAnsi="宋体" w:eastAsia="宋体" w:cs="宋体"/>
          <w:color w:val="auto"/>
          <w:sz w:val="24"/>
          <w:szCs w:val="20"/>
          <w:highlight w:val="none"/>
          <w:lang w:eastAsia="zh-CN"/>
        </w:rPr>
        <w:t xml:space="preserve">盐城市第一中学</w:t>
      </w:r>
      <w:r>
        <w:rPr>
          <w:rFonts w:hint="eastAsia" w:ascii="宋体" w:hAnsi="宋体" w:eastAsia="宋体" w:cs="宋体"/>
          <w:color w:val="auto"/>
          <w:sz w:val="24"/>
          <w:szCs w:val="20"/>
          <w:highlight w:val="none"/>
        </w:rPr>
        <w:t xml:space="preserve">物业管理服务，详见招标采购需求（详细内容见本招标文件第四章），招标人保留对服务内容进行适当调整的权利。</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7.合同履行期限：1年</w:t>
      </w:r>
      <w:bookmarkStart w:id="6" w:name="_Toc35393791"/>
      <w:r/>
      <w:bookmarkStart w:id="7" w:name="_Toc35393622"/>
      <w:r/>
      <w:bookmarkStart w:id="8" w:name="_Toc28359003"/>
      <w:r/>
      <w:bookmarkStart w:id="9" w:name="_Toc28359080"/>
      <w:r/>
      <w:bookmarkStart w:id="10" w:name="_Toc38985264"/>
      <w:r>
        <w:rPr>
          <w:rFonts w:hint="eastAsia" w:asciiTheme="minorEastAsia" w:hAnsiTheme="minorEastAsia" w:eastAsiaTheme="minorEastAsia" w:cstheme="minorEastAsia"/>
          <w:sz w:val="24"/>
          <w:szCs w:val="24"/>
          <w:highlight w:val="none"/>
        </w:rPr>
        <w:t xml:space="preserve">（含3个月试用期），自合同签订之日起计算。</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8.本项目（是/否）接受联合体投标：否</w:t>
      </w:r>
      <w:r/>
    </w:p>
    <w:p>
      <w:pPr>
        <w:ind w:firstLine="482"/>
        <w:jc w:val="left"/>
        <w:keepLines w:val="0"/>
        <w:keepNext w:val="0"/>
        <w:pageBreakBefore w:val="0"/>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bookmarkEnd w:id="6"/>
      <w:r/>
      <w:bookmarkEnd w:id="7"/>
      <w:r/>
      <w:bookmarkEnd w:id="8"/>
      <w:r/>
      <w:bookmarkEnd w:id="9"/>
      <w:r/>
      <w:bookmarkEnd w:id="10"/>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1.满足《中华人民共和国政府采购法》第二十二条规定，并提供下列材料：</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1.1法人或者其他组织的营业执照等证明文件，自然人的身份证明；</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1.2上一年度的财务状况报</w:t>
      </w:r>
      <w:r>
        <w:rPr>
          <w:rFonts w:hint="eastAsia" w:ascii="宋体" w:hAnsi="宋体" w:cs="宋体"/>
          <w:color w:val="auto"/>
          <w:sz w:val="24"/>
          <w:szCs w:val="20"/>
          <w:highlight w:val="none"/>
          <w:lang w:val="en-US" w:eastAsia="zh-CN"/>
        </w:rPr>
        <w:t xml:space="preserve">告</w:t>
      </w:r>
      <w:r>
        <w:rPr>
          <w:rFonts w:hint="eastAsia" w:ascii="宋体" w:hAnsi="宋体" w:cs="宋体"/>
          <w:color w:val="auto"/>
          <w:sz w:val="24"/>
          <w:szCs w:val="20"/>
          <w:highlight w:val="none"/>
        </w:rPr>
        <w:t xml:space="preserve">（成立不满一年无需提供）；</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1.3具备履行合同所必需的设备和专业技术能力的书面声明；</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1.4依法缴纳税收和社会保障资金的相关材料（提供提交投标文件截止时间前一年内至少</w:t>
      </w:r>
      <w:r>
        <w:rPr>
          <w:rFonts w:hint="eastAsia" w:ascii="宋体" w:hAnsi="宋体" w:cs="宋体"/>
          <w:color w:val="auto"/>
          <w:sz w:val="24"/>
          <w:szCs w:val="20"/>
          <w:highlight w:val="none"/>
          <w:lang w:val="en-US" w:eastAsia="zh-CN"/>
        </w:rPr>
        <w:t xml:space="preserve">一</w:t>
      </w:r>
      <w:r>
        <w:rPr>
          <w:rFonts w:hint="eastAsia" w:ascii="宋体" w:hAnsi="宋体" w:cs="宋体"/>
          <w:color w:val="auto"/>
          <w:sz w:val="24"/>
          <w:szCs w:val="20"/>
          <w:highlight w:val="none"/>
        </w:rPr>
        <w:t xml:space="preserve">个月依法缴纳税收及缴纳社会保障资金的证明材料。供应商依法享受缓缴、免缴税收、社会保障资金的提供证明材料。）；</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1.5参加政府采购活动前3年内在经营活动中没有重大违法记录的书面声明。</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1.6法律、行政法规规定的其他条件。</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1.8单位负责人为同一人或者存在直接控股、管理关系的不同供应商，不得参加同一合同项下的政府采购活动。</w:t>
      </w:r>
      <w:r/>
    </w:p>
    <w:p>
      <w:pPr>
        <w:ind w:firstLine="480"/>
        <w:jc w:val="left"/>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2.落实政府采购政策需满足的资格要求：</w:t>
      </w:r>
      <w:r>
        <w:rPr>
          <w:rFonts w:hint="eastAsia" w:ascii="宋体" w:hAnsi="宋体" w:cs="宋体"/>
          <w:b/>
          <w:bCs/>
          <w:color w:val="auto"/>
          <w:sz w:val="24"/>
          <w:szCs w:val="20"/>
          <w:highlight w:val="none"/>
        </w:rPr>
        <w:t xml:space="preserve">本项目专门面向中小企业采购。采购标的的所属行业为物业管理，投标人需按照采购文件的要求提供相应的《中小企业声明函》。企业标准请参照《关于印发中小企业划型标准规定的通知》（工信部联企业[2011]300号）文件规定自行填写。</w:t>
      </w:r>
      <w:r/>
    </w:p>
    <w:p>
      <w:pPr>
        <w:ind w:firstLine="480"/>
        <w:jc w:val="left"/>
        <w:spacing w:line="560" w:lineRule="exact"/>
        <w:shd w:val="clear" w:color="auto"/>
        <w:widowControl/>
        <w:rPr>
          <w:rFonts w:hint="eastAsia" w:ascii="宋体" w:hAnsi="宋体" w:cs="宋体" w:eastAsiaTheme="minorEastAsia"/>
          <w:color w:val="auto"/>
          <w:sz w:val="24"/>
          <w:szCs w:val="20"/>
          <w:highlight w:val="none"/>
          <w:lang w:eastAsia="zh-CN"/>
        </w:rPr>
      </w:pPr>
      <w:r>
        <w:rPr>
          <w:rFonts w:hint="eastAsia" w:ascii="宋体" w:hAnsi="宋体" w:cs="宋体"/>
          <w:color w:val="auto"/>
          <w:sz w:val="24"/>
          <w:szCs w:val="20"/>
          <w:highlight w:val="none"/>
        </w:rPr>
        <w:t xml:space="preserve">3.本项目的特定资格要求：</w:t>
      </w:r>
      <w:r>
        <w:rPr>
          <w:rFonts w:hint="eastAsia" w:ascii="宋体" w:hAnsi="宋体" w:cs="宋体"/>
          <w:color w:val="auto"/>
          <w:sz w:val="24"/>
          <w:szCs w:val="20"/>
          <w:highlight w:val="none"/>
          <w:lang w:eastAsia="zh-CN"/>
        </w:rPr>
        <w:t xml:space="preserve">无</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0"/>
        <w:jc w:val="left"/>
        <w:spacing w:line="560" w:lineRule="exact"/>
        <w:shd w:val="clear" w:color="auto"/>
        <w:widowControl/>
        <w:rPr>
          <w:rFonts w:ascii="宋体" w:hAnsi="宋体" w:eastAsia="宋体" w:cs="宋体"/>
          <w:color w:val="auto"/>
          <w:sz w:val="24"/>
          <w:szCs w:val="20"/>
          <w:highlight w:val="none"/>
        </w:rPr>
      </w:pPr>
      <w:r/>
      <w:bookmarkStart w:id="11" w:name="_Toc35393793"/>
      <w:r/>
      <w:bookmarkStart w:id="12" w:name="_Toc35393624"/>
      <w:r/>
      <w:bookmarkStart w:id="13" w:name="_Toc38985266"/>
      <w:r/>
      <w:bookmarkStart w:id="14" w:name="_Toc28359082"/>
      <w:r/>
      <w:bookmarkStart w:id="15" w:name="_Toc28359005"/>
      <w:r>
        <w:rPr>
          <w:rFonts w:hint="eastAsia" w:ascii="宋体" w:hAnsi="宋体" w:eastAsia="宋体" w:cs="宋体"/>
          <w:color w:val="auto"/>
          <w:sz w:val="24"/>
          <w:szCs w:val="20"/>
          <w:highlight w:val="none"/>
        </w:rPr>
        <w:t xml:space="preserve">1.时间：</w:t>
      </w:r>
      <w:bookmarkEnd w:id="11"/>
      <w:r/>
      <w:bookmarkEnd w:id="12"/>
      <w:r/>
      <w:bookmarkEnd w:id="13"/>
      <w:r/>
      <w:bookmarkEnd w:id="14"/>
      <w:r/>
      <w:bookmarkEnd w:id="15"/>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spacing w:line="560" w:lineRule="exact"/>
        <w:shd w:val="clear" w:color="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2.地点：</w:t>
      </w:r>
      <w:r>
        <w:rPr>
          <w:rFonts w:hint="eastAsia" w:ascii="宋体" w:hAnsi="宋体" w:eastAsia="宋体" w:cs="宋体"/>
          <w:color w:val="auto"/>
          <w:sz w:val="24"/>
          <w:szCs w:val="20"/>
          <w:highlight w:val="none"/>
          <w:lang w:val="en-US" w:eastAsia="zh-CN"/>
        </w:rPr>
        <w:t xml:space="preserve">“苏采云”系统内免费下载（投标人必须在苏采云系统中获取采购文件，方能参与政府采购项目）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3.方式：本项目采用网上注册登记方式</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4.售价：0元</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四、提交投标文件截止时间、开标时间和地点</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4"/>
          <w:highlight w:val="none"/>
          <w:lang w:val="en-US" w:eastAsia="zh-CN" w:bidi="ar"/>
        </w:rPr>
        <w:t xml:space="preserve">1.时间：</w:t>
      </w:r>
      <w:r>
        <w:rPr>
          <w:rFonts w:hint="eastAsia" w:ascii="宋体" w:hAnsi="宋体" w:eastAsia="宋体" w:cs="宋体"/>
          <w:color w:val="000000" w:themeColor="text1"/>
          <w:sz w:val="24"/>
          <w:szCs w:val="24"/>
          <w:highlight w:val="none"/>
          <w:lang w:val="en-US" w:eastAsia="zh-CN" w:bidi="ar"/>
        </w:rPr>
        <w:t xml:space="preserve">2025年12月9日9点30分</w:t>
      </w:r>
      <w:r>
        <w:rPr>
          <w:rFonts w:hint="eastAsia" w:ascii="宋体" w:hAnsi="宋体" w:eastAsia="宋体" w:cs="宋体"/>
          <w:color w:val="auto"/>
          <w:sz w:val="24"/>
          <w:szCs w:val="24"/>
          <w:highlight w:val="none"/>
          <w:lang w:val="en-US" w:eastAsia="zh-CN" w:bidi="ar"/>
        </w:rPr>
        <w:t xml:space="preserve">（北京时间）</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2.地点：苏采云“不见面”开标大厅 。</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6" w:name="_Toc38985267"/>
      <w:r/>
      <w:bookmarkStart w:id="17" w:name="_Toc28359007"/>
      <w:r/>
      <w:bookmarkStart w:id="18" w:name="_Toc35393794"/>
      <w:r/>
      <w:bookmarkStart w:id="19" w:name="_Toc28359084"/>
      <w:r/>
      <w:bookmarkStart w:id="20" w:name="_Toc35393625"/>
      <w:r>
        <w:rPr>
          <w:rFonts w:hint="eastAsia" w:ascii="宋体" w:hAnsi="宋体" w:eastAsia="宋体" w:cs="宋体"/>
          <w:b/>
          <w:bCs/>
          <w:color w:val="auto"/>
          <w:sz w:val="24"/>
          <w:szCs w:val="20"/>
          <w:highlight w:val="none"/>
        </w:rPr>
        <w:t xml:space="preserve">五、公告期限</w:t>
      </w:r>
      <w:bookmarkEnd w:id="16"/>
      <w:r/>
      <w:bookmarkEnd w:id="17"/>
      <w:r/>
      <w:bookmarkEnd w:id="18"/>
      <w:r/>
      <w:bookmarkEnd w:id="19"/>
      <w:r/>
      <w:bookmarkEnd w:id="20"/>
      <w:r/>
      <w:r/>
    </w:p>
    <w:p>
      <w:pPr>
        <w:ind w:firstLine="480"/>
        <w:jc w:val="left"/>
        <w:spacing w:line="560" w:lineRule="exact"/>
        <w:shd w:val="clear" w:color="auto"/>
        <w:widowControl/>
        <w:rPr>
          <w:rFonts w:ascii="宋体" w:hAnsi="宋体" w:eastAsia="宋体" w:cs="宋体"/>
          <w:color w:val="auto"/>
          <w:sz w:val="24"/>
          <w:szCs w:val="20"/>
          <w:highlight w:val="none"/>
        </w:rPr>
      </w:pPr>
      <w:r/>
      <w:bookmarkStart w:id="21" w:name="_Toc35393795"/>
      <w:r/>
      <w:bookmarkStart w:id="22" w:name="_Toc38985268"/>
      <w:r/>
      <w:bookmarkStart w:id="23" w:name="_Toc35393626"/>
      <w:r>
        <w:rPr>
          <w:rFonts w:hint="eastAsia" w:ascii="宋体" w:hAnsi="宋体" w:eastAsia="宋体" w:cs="宋体"/>
          <w:color w:val="auto"/>
          <w:sz w:val="24"/>
          <w:szCs w:val="20"/>
          <w:highlight w:val="none"/>
        </w:rPr>
        <w:t xml:space="preserve">自本公告发布之日起5个工作日</w:t>
      </w:r>
      <w:bookmarkEnd w:id="21"/>
      <w:r/>
      <w:bookmarkEnd w:id="22"/>
      <w:r/>
      <w:bookmarkEnd w:id="23"/>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六、其他补充事宜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2.潜在供应商访问电子招标响应交易平台的网络地址和方法：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 潜在投标人访问“苏采云”系统方法：江苏省政府采购网首页-“苏采云”链接。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 采购文件（后缀名为“.kedt”）、供应商操作手册及政府采购客户端 工具可通过“苏采云”系统相应链接进行下载。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 采购代理机构将数据电文形式的采购文件加载至“苏采云”系统，供潜在供应商下载或者查阅。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spacing w:line="560" w:lineRule="exact"/>
        <w:shd w:val="clear" w:color="auto"/>
        <w:widowControl/>
        <w:rPr>
          <w:rFonts w:hint="eastAsia" w:ascii="宋体" w:hAnsi="宋体" w:cs="宋体"/>
          <w:b/>
          <w:bCs/>
          <w:color w:val="auto"/>
          <w:sz w:val="24"/>
          <w:szCs w:val="24"/>
          <w:highlight w:val="none"/>
        </w:rPr>
      </w:pPr>
      <w:r>
        <w:rPr>
          <w:rFonts w:hint="eastAsia" w:ascii="宋体" w:hAnsi="宋体" w:eastAsia="宋体" w:cs="宋体"/>
          <w:color w:val="auto"/>
          <w:sz w:val="24"/>
          <w:szCs w:val="20"/>
          <w:highlight w:val="none"/>
          <w:lang w:val="en-US" w:eastAsia="zh-CN"/>
        </w:rPr>
        <w:t xml:space="preserve">如潜在投标人未按上述要求操作，将自行承担所产生的风险。</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3.有关本次招标的事项若存在变动或修改，敬请及时关注盐城市政府采购中心在“中国政府采购网”、“江苏政府采购网”、“盐城市政府采购网”发布的更正公告。</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4.本次招标不收取投标保证金，不收取质量保证金。</w:t>
      </w:r>
      <w:r/>
    </w:p>
    <w:p>
      <w:pPr>
        <w:ind w:firstLine="480"/>
        <w:jc w:val="left"/>
        <w:spacing w:line="560" w:lineRule="exact"/>
        <w:shd w:val="clear" w:color="auto"/>
        <w:widowControl/>
        <w:rPr>
          <w:rFonts w:ascii="宋体" w:hAnsi="宋体" w:cs="宋体"/>
          <w:b/>
          <w:bCs/>
          <w:color w:val="auto"/>
          <w:sz w:val="24"/>
          <w:szCs w:val="24"/>
          <w:highlight w:val="none"/>
        </w:rPr>
      </w:pPr>
      <w:r/>
      <w:bookmarkStart w:id="24" w:name="_Toc28359009"/>
      <w:r>
        <w:rPr>
          <w:rFonts w:hint="eastAsia" w:ascii="宋体" w:hAnsi="宋体" w:cs="宋体"/>
          <w:b/>
          <w:bCs/>
          <w:color w:val="auto"/>
          <w:sz w:val="24"/>
          <w:szCs w:val="20"/>
          <w:highlight w:val="none"/>
        </w:rPr>
        <w:t xml:space="preserve">七、对本次招标提出询问，请按以下方式联系。</w:t>
      </w:r>
      <w:r/>
    </w:p>
    <w:p>
      <w:pPr>
        <w:ind w:firstLine="480"/>
        <w:jc w:val="left"/>
        <w:spacing w:line="560" w:lineRule="exact"/>
        <w:shd w:val="clear" w:color="auto"/>
        <w:widowControl/>
        <w:rPr>
          <w:rFonts w:ascii="宋体" w:hAnsi="宋体" w:cs="宋体"/>
          <w:b/>
          <w:bCs/>
          <w:color w:val="auto"/>
          <w:sz w:val="24"/>
          <w:szCs w:val="20"/>
          <w:highlight w:val="none"/>
        </w:rPr>
      </w:pPr>
      <w:r/>
      <w:bookmarkStart w:id="25" w:name="_Toc35393637"/>
      <w:r/>
      <w:bookmarkStart w:id="26" w:name="_Toc28359019"/>
      <w:r/>
      <w:bookmarkStart w:id="27" w:name="_Toc28359096"/>
      <w:r/>
      <w:bookmarkStart w:id="28" w:name="_Toc35393806"/>
      <w:r/>
      <w:bookmarkStart w:id="29" w:name="_Toc14577347"/>
      <w:r/>
      <w:bookmarkStart w:id="30" w:name="_Toc61149549"/>
      <w:r>
        <w:rPr>
          <w:rFonts w:hint="eastAsia" w:ascii="宋体" w:hAnsi="宋体" w:cs="宋体"/>
          <w:b/>
          <w:bCs/>
          <w:color w:val="auto"/>
          <w:sz w:val="24"/>
          <w:szCs w:val="20"/>
          <w:highlight w:val="none"/>
        </w:rPr>
        <w:t xml:space="preserve">1.采购人信息</w:t>
      </w:r>
      <w:bookmarkEnd w:id="25"/>
      <w:r/>
      <w:bookmarkEnd w:id="26"/>
      <w:r/>
      <w:bookmarkEnd w:id="27"/>
      <w:r/>
      <w:bookmarkEnd w:id="28"/>
      <w:r/>
      <w:r/>
    </w:p>
    <w:p>
      <w:pPr>
        <w:ind w:firstLine="480"/>
        <w:jc w:val="left"/>
        <w:spacing w:line="560" w:lineRule="exact"/>
        <w:shd w:val="clear" w:color="auto"/>
        <w:widowControl/>
        <w:rPr>
          <w:rFonts w:hint="eastAsia" w:ascii="宋体" w:hAnsi="宋体" w:cs="宋体" w:eastAsiaTheme="minorEastAsia"/>
          <w:color w:val="auto"/>
          <w:sz w:val="24"/>
          <w:szCs w:val="20"/>
          <w:highlight w:val="none"/>
          <w:lang w:eastAsia="zh-CN"/>
        </w:rPr>
      </w:pPr>
      <w:r>
        <w:rPr>
          <w:rFonts w:hint="eastAsia" w:ascii="宋体" w:hAnsi="宋体" w:cs="宋体"/>
          <w:color w:val="auto"/>
          <w:sz w:val="24"/>
          <w:szCs w:val="20"/>
          <w:highlight w:val="none"/>
        </w:rPr>
        <w:t xml:space="preserve">名    称：</w:t>
      </w:r>
      <w:r>
        <w:rPr>
          <w:rFonts w:hint="eastAsia" w:asciiTheme="minorEastAsia" w:hAnsiTheme="minorEastAsia" w:cstheme="minorEastAsia"/>
          <w:sz w:val="24"/>
          <w:szCs w:val="24"/>
          <w:highlight w:val="none"/>
          <w:lang w:eastAsia="zh-CN"/>
        </w:rPr>
        <w:t xml:space="preserve">盐城市第一中学</w:t>
      </w:r>
      <w:r>
        <w:rPr>
          <w:rFonts w:hint="eastAsia" w:asciiTheme="minorEastAsia" w:hAnsiTheme="minorEastAsia" w:eastAsiaTheme="minorEastAsia" w:cstheme="minorEastAsia"/>
          <w:sz w:val="24"/>
          <w:szCs w:val="24"/>
          <w:highlight w:val="none"/>
          <w:shd w:val="clear" w:color="auto" w:fill="ffffff"/>
        </w:rPr>
        <w:t xml:space="preserve"> </w:t>
      </w:r>
      <w:r/>
    </w:p>
    <w:p>
      <w:pPr>
        <w:ind w:firstLine="480"/>
        <w:jc w:val="left"/>
        <w:spacing w:line="560" w:lineRule="exact"/>
        <w:shd w:val="clear" w:color="auto"/>
        <w:widowControl/>
        <w:rPr>
          <w:rFonts w:hint="default" w:ascii="宋体" w:hAnsi="宋体" w:cs="宋体"/>
          <w:color w:val="auto"/>
          <w:sz w:val="24"/>
          <w:szCs w:val="20"/>
          <w:highlight w:val="none"/>
          <w:lang w:val="en-US"/>
        </w:rPr>
      </w:pPr>
      <w:r>
        <w:rPr>
          <w:rFonts w:hint="eastAsia" w:ascii="宋体" w:hAnsi="宋体" w:cs="宋体"/>
          <w:color w:val="auto"/>
          <w:sz w:val="24"/>
          <w:szCs w:val="20"/>
          <w:highlight w:val="none"/>
        </w:rPr>
        <w:t xml:space="preserve">地    址：</w:t>
      </w:r>
      <w:r>
        <w:rPr>
          <w:rFonts w:hint="eastAsia" w:asciiTheme="minorEastAsia" w:hAnsiTheme="minorEastAsia" w:eastAsiaTheme="minorEastAsia" w:cstheme="minorEastAsia"/>
          <w:sz w:val="24"/>
          <w:szCs w:val="24"/>
          <w:highlight w:val="none"/>
        </w:rPr>
        <w:t xml:space="preserve">江苏省盐城市青年东路69号</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cs="宋体"/>
          <w:color w:val="auto"/>
          <w:sz w:val="24"/>
          <w:szCs w:val="20"/>
          <w:highlight w:val="none"/>
        </w:rPr>
        <w:t xml:space="preserve">联 系 人：</w:t>
      </w:r>
      <w:r>
        <w:rPr>
          <w:rFonts w:hint="eastAsia" w:asciiTheme="minorEastAsia" w:hAnsiTheme="minorEastAsia" w:cstheme="minorEastAsia"/>
          <w:sz w:val="24"/>
          <w:szCs w:val="24"/>
          <w:highlight w:val="none"/>
          <w:lang w:val="en-US" w:eastAsia="zh-CN"/>
        </w:rPr>
        <w:t xml:space="preserve">刘</w:t>
      </w:r>
      <w:r>
        <w:rPr>
          <w:rFonts w:hint="eastAsia" w:asciiTheme="minorEastAsia" w:hAnsiTheme="minorEastAsia" w:eastAsiaTheme="minorEastAsia" w:cstheme="minorEastAsia"/>
          <w:sz w:val="24"/>
          <w:szCs w:val="24"/>
          <w:highlight w:val="none"/>
        </w:rPr>
        <w:t xml:space="preserve">老师</w:t>
      </w:r>
      <w:r>
        <w:rPr>
          <w:rFonts w:hint="eastAsia" w:asciiTheme="minorEastAsia" w:hAnsiTheme="minorEastAsia" w:eastAsiaTheme="minorEastAsia" w:cstheme="minorEastAsia"/>
          <w:sz w:val="24"/>
          <w:szCs w:val="24"/>
          <w:highlight w:val="none"/>
          <w:shd w:val="clear" w:color="auto" w:fill="ffffff"/>
        </w:rPr>
        <w:t xml:space="preserve"> </w:t>
      </w:r>
      <w:r/>
    </w:p>
    <w:p>
      <w:pPr>
        <w:ind w:firstLine="480"/>
        <w:jc w:val="left"/>
        <w:spacing w:line="560" w:lineRule="exact"/>
        <w:shd w:val="clear" w:color="auto"/>
        <w:widowControl/>
        <w:rPr>
          <w:rFonts w:hint="default" w:ascii="宋体" w:hAnsi="宋体" w:cs="宋体" w:eastAsiaTheme="minorEastAsia"/>
          <w:color w:val="auto"/>
          <w:sz w:val="24"/>
          <w:szCs w:val="20"/>
          <w:highlight w:val="none"/>
          <w:lang w:val="en-US" w:eastAsia="zh-CN"/>
        </w:rPr>
      </w:pPr>
      <w:r>
        <w:rPr>
          <w:rFonts w:hint="eastAsia" w:ascii="宋体" w:hAnsi="宋体" w:cs="宋体"/>
          <w:color w:val="auto"/>
          <w:sz w:val="24"/>
          <w:szCs w:val="20"/>
          <w:highlight w:val="none"/>
        </w:rPr>
        <w:t xml:space="preserve">联系电话：</w:t>
      </w:r>
      <w:r>
        <w:rPr>
          <w:rFonts w:hint="eastAsia" w:ascii="宋体" w:hAnsi="宋体" w:cs="宋体"/>
          <w:color w:val="auto"/>
          <w:sz w:val="24"/>
          <w:szCs w:val="20"/>
          <w:highlight w:val="none"/>
          <w:lang w:val="en-US" w:eastAsia="zh-CN"/>
        </w:rPr>
        <w:t xml:space="preserve">13770015833</w:t>
      </w:r>
      <w:r/>
    </w:p>
    <w:p>
      <w:pPr>
        <w:ind w:firstLine="480"/>
        <w:jc w:val="left"/>
        <w:spacing w:line="520" w:lineRule="exact"/>
        <w:shd w:val="clear" w:color="auto"/>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2.采购代理机构信息</w:t>
      </w:r>
      <w:r/>
    </w:p>
    <w:p>
      <w:pPr>
        <w:ind w:firstLine="480"/>
        <w:jc w:val="left"/>
        <w:spacing w:line="520" w:lineRule="exact"/>
        <w:shd w:val="clear" w:color="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名 </w:t>
      </w:r>
      <w:r>
        <w:rPr>
          <w:rFonts w:hint="eastAsia" w:ascii="宋体" w:hAnsi="宋体" w:cs="宋体"/>
          <w:color w:val="auto"/>
          <w:sz w:val="24"/>
          <w:szCs w:val="20"/>
          <w:highlight w:val="none"/>
        </w:rPr>
        <w:t xml:space="preserve">   </w:t>
      </w:r>
      <w:r>
        <w:rPr>
          <w:rFonts w:hint="eastAsia" w:ascii="宋体" w:hAnsi="宋体" w:eastAsia="Arial" w:cs="宋体"/>
          <w:color w:val="auto"/>
          <w:sz w:val="24"/>
          <w:szCs w:val="20"/>
          <w:highlight w:val="none"/>
        </w:rPr>
        <w:t xml:space="preserve">称：盐城市政府采购中心 </w:t>
      </w:r>
      <w:r/>
    </w:p>
    <w:p>
      <w:pPr>
        <w:ind w:firstLine="480"/>
        <w:jc w:val="left"/>
        <w:spacing w:line="520" w:lineRule="exact"/>
        <w:shd w:val="clear" w:color="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地    址：盐城市府西路1号市公共资源交易中心5楼</w:t>
      </w:r>
      <w:r/>
    </w:p>
    <w:p>
      <w:pPr>
        <w:ind w:firstLine="480"/>
        <w:jc w:val="left"/>
        <w:spacing w:line="520" w:lineRule="exact"/>
        <w:shd w:val="clear" w:color="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 系 人：</w:t>
      </w:r>
      <w:r>
        <w:rPr>
          <w:rFonts w:hint="eastAsia" w:ascii="宋体" w:hAnsi="宋体" w:eastAsia="宋体" w:cs="宋体"/>
          <w:color w:val="auto"/>
          <w:sz w:val="24"/>
          <w:szCs w:val="20"/>
          <w:highlight w:val="none"/>
          <w:lang w:val="en-US" w:eastAsia="zh-CN"/>
        </w:rPr>
        <w:t xml:space="preserve">范女士</w:t>
      </w:r>
      <w:r>
        <w:rPr>
          <w:rFonts w:hint="eastAsia" w:ascii="宋体" w:hAnsi="宋体" w:eastAsia="Arial" w:cs="宋体"/>
          <w:color w:val="auto"/>
          <w:sz w:val="24"/>
          <w:szCs w:val="20"/>
          <w:highlight w:val="none"/>
        </w:rPr>
        <w:t xml:space="preserve">                    </w:t>
      </w:r>
      <w:r/>
    </w:p>
    <w:p>
      <w:pPr>
        <w:ind w:firstLine="480"/>
        <w:jc w:val="left"/>
        <w:spacing w:line="520" w:lineRule="exact"/>
        <w:shd w:val="clear" w:color="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联系方式：</w:t>
      </w:r>
      <w:bookmarkStart w:id="31" w:name="_Toc28359010"/>
      <w:r/>
      <w:bookmarkStart w:id="32" w:name="_Toc28359087"/>
      <w:r>
        <w:rPr>
          <w:rFonts w:hint="eastAsia" w:ascii="宋体" w:hAnsi="宋体"/>
          <w:color w:val="auto"/>
          <w:sz w:val="24"/>
          <w:szCs w:val="24"/>
          <w:highlight w:val="none"/>
          <w:u w:val="none"/>
        </w:rPr>
        <w:t xml:space="preserve">0515-</w:t>
      </w:r>
      <w:r>
        <w:rPr>
          <w:rFonts w:hint="eastAsia" w:ascii="宋体" w:hAnsi="宋体"/>
          <w:color w:val="auto"/>
          <w:sz w:val="24"/>
          <w:szCs w:val="24"/>
          <w:highlight w:val="none"/>
          <w:u w:val="none"/>
          <w:lang w:val="en-US" w:eastAsia="zh-CN"/>
        </w:rPr>
        <w:t xml:space="preserve">69083506</w:t>
      </w:r>
      <w:r>
        <w:rPr>
          <w:rFonts w:hint="eastAsia" w:ascii="宋体" w:hAnsi="宋体" w:eastAsia="Arial" w:cs="宋体"/>
          <w:color w:val="auto"/>
          <w:sz w:val="24"/>
          <w:szCs w:val="20"/>
          <w:highlight w:val="none"/>
        </w:rPr>
        <w:t xml:space="preserve">  </w:t>
      </w:r>
      <w:bookmarkEnd w:id="31"/>
      <w:r/>
      <w:bookmarkEnd w:id="32"/>
      <w:r/>
      <w:r/>
    </w:p>
    <w:p>
      <w:pPr>
        <w:ind w:firstLine="480"/>
        <w:jc w:val="left"/>
        <w:spacing w:line="520" w:lineRule="exact"/>
        <w:shd w:val="clear" w:color="auto"/>
        <w:widowControl/>
        <w:rPr>
          <w:rFonts w:ascii="宋体" w:hAnsi="宋体" w:eastAsia="Arial" w:cs="宋体"/>
          <w:b/>
          <w:bCs/>
          <w:color w:val="auto"/>
          <w:sz w:val="24"/>
          <w:szCs w:val="20"/>
          <w:highlight w:val="none"/>
        </w:rPr>
      </w:pPr>
      <w:r/>
      <w:bookmarkStart w:id="33" w:name="_Toc28359021"/>
      <w:r>
        <w:rPr>
          <w:rFonts w:hint="eastAsia" w:ascii="宋体" w:hAnsi="宋体" w:eastAsia="Arial" w:cs="宋体"/>
          <w:b/>
          <w:bCs/>
          <w:color w:val="auto"/>
          <w:sz w:val="24"/>
          <w:szCs w:val="20"/>
          <w:highlight w:val="none"/>
        </w:rPr>
        <w:t xml:space="preserve">3.</w:t>
      </w:r>
      <w:bookmarkEnd w:id="33"/>
      <w:r>
        <w:rPr>
          <w:rFonts w:hint="eastAsia" w:ascii="宋体" w:hAnsi="宋体" w:eastAsia="Arial" w:cs="宋体"/>
          <w:b/>
          <w:bCs/>
          <w:color w:val="auto"/>
          <w:sz w:val="24"/>
          <w:szCs w:val="20"/>
          <w:highlight w:val="none"/>
        </w:rPr>
        <w:t xml:space="preserve">项目联系方式</w:t>
      </w:r>
      <w:r/>
    </w:p>
    <w:p>
      <w:pPr>
        <w:ind w:firstLine="480"/>
        <w:jc w:val="left"/>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项目联系人：</w:t>
      </w:r>
      <w:bookmarkEnd w:id="29"/>
      <w:r/>
      <w:bookmarkEnd w:id="30"/>
      <w:r>
        <w:rPr>
          <w:rFonts w:hint="eastAsia" w:ascii="宋体" w:hAnsi="宋体" w:eastAsia="宋体" w:cs="宋体"/>
          <w:color w:val="auto"/>
          <w:sz w:val="24"/>
          <w:szCs w:val="20"/>
          <w:highlight w:val="none"/>
          <w:lang w:val="en-US" w:eastAsia="zh-CN"/>
        </w:rPr>
        <w:t xml:space="preserve">范女士</w:t>
      </w:r>
      <w:r/>
    </w:p>
    <w:p>
      <w:pPr>
        <w:ind w:firstLine="480"/>
        <w:jc w:val="left"/>
        <w:spacing w:line="520" w:lineRule="exact"/>
        <w:shd w:val="clear" w:color="auto"/>
        <w:widowControl/>
        <w:rPr>
          <w:rFonts w:hint="default" w:ascii="宋体" w:hAnsi="宋体" w:cs="宋体" w:eastAsiaTheme="minorEastAsia"/>
          <w:color w:val="auto"/>
          <w:sz w:val="24"/>
          <w:szCs w:val="20"/>
          <w:highlight w:val="none"/>
          <w:lang w:val="en-US" w:eastAsia="zh-CN"/>
        </w:rPr>
      </w:pPr>
      <w:r>
        <w:rPr>
          <w:rFonts w:hint="eastAsia" w:ascii="宋体" w:hAnsi="宋体" w:eastAsia="Arial" w:cs="宋体"/>
          <w:color w:val="auto"/>
          <w:sz w:val="24"/>
          <w:szCs w:val="20"/>
          <w:highlight w:val="none"/>
        </w:rPr>
        <w:t xml:space="preserve">联系电话：</w:t>
      </w:r>
      <w:r>
        <w:rPr>
          <w:rFonts w:hint="eastAsia" w:ascii="宋体" w:hAnsi="宋体"/>
          <w:color w:val="auto"/>
          <w:sz w:val="24"/>
          <w:szCs w:val="24"/>
          <w:highlight w:val="none"/>
          <w:u w:val="none"/>
        </w:rPr>
        <w:t xml:space="preserve">0515-</w:t>
      </w:r>
      <w:r>
        <w:rPr>
          <w:rFonts w:hint="eastAsia" w:ascii="宋体" w:hAnsi="宋体"/>
          <w:color w:val="auto"/>
          <w:sz w:val="24"/>
          <w:szCs w:val="24"/>
          <w:highlight w:val="none"/>
          <w:u w:val="none"/>
          <w:lang w:val="en-US" w:eastAsia="zh-CN"/>
        </w:rPr>
        <w:t xml:space="preserve">69083506</w:t>
      </w:r>
      <w:r/>
    </w:p>
    <w:p>
      <w:pPr>
        <w:ind w:firstLine="480"/>
        <w:jc w:val="center"/>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bookmarkStart w:id="34" w:name="_Toc120614211"/>
      <w:r/>
      <w:r/>
    </w:p>
    <w:p>
      <w:pPr>
        <w:jc w:val="left"/>
        <w:rPr>
          <w:rFonts w:hint="eastAsia" w:asciiTheme="minorHAnsi" w:hAnsiTheme="minorHAnsi" w:eastAsiaTheme="minorEastAsia" w:cstheme="minorBidi"/>
          <w:sz w:val="21"/>
          <w:szCs w:val="24"/>
          <w:highlight w:val="none"/>
          <w:lang w:val="en-US" w:eastAsia="zh-CN" w:bidi="ar-SA"/>
        </w:rPr>
      </w:pPr>
      <w:r>
        <w:rPr>
          <w:rFonts w:hint="eastAsia" w:asciiTheme="minorHAnsi" w:hAnsiTheme="minorHAnsi" w:eastAsiaTheme="minorEastAsia" w:cstheme="minorBidi"/>
          <w:sz w:val="21"/>
          <w:szCs w:val="24"/>
          <w:highlight w:val="none"/>
          <w:lang w:val="en-US" w:eastAsia="zh-CN" w:bidi="ar-SA"/>
        </w:rPr>
      </w:r>
      <w:r/>
    </w:p>
    <w:p>
      <w:pPr>
        <w:ind w:firstLine="482"/>
        <w:jc w:val="center"/>
        <w:keepLines w:val="0"/>
        <w:keepNext w:val="0"/>
        <w:pageBreakBefore w:val="0"/>
        <w:spacing w:line="560" w:lineRule="exact"/>
        <w:shd w:val="clear" w:color="auto"/>
        <w:widowControl/>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第二章</w:t>
      </w:r>
      <w:bookmarkEnd w:id="34"/>
      <w:r/>
      <w:bookmarkStart w:id="35" w:name="_Toc513029202"/>
      <w:r/>
      <w:bookmarkStart w:id="36" w:name="_Toc120614213"/>
      <w:r/>
      <w:bookmarkStart w:id="37" w:name="_Toc16938518"/>
      <w:r/>
      <w:bookmarkStart w:id="38" w:name="_Toc20823274"/>
      <w:r>
        <w:rPr>
          <w:rFonts w:hint="eastAsia" w:ascii="黑体" w:hAnsi="宋体" w:eastAsia="黑体" w:cs="黑体"/>
          <w:color w:val="auto"/>
          <w:sz w:val="44"/>
          <w:szCs w:val="44"/>
          <w:highlight w:val="none"/>
        </w:rPr>
        <w:t xml:space="preserve"> </w:t>
      </w:r>
      <w:r>
        <w:rPr>
          <w:rFonts w:hint="eastAsia" w:ascii="黑体" w:hAnsi="宋体" w:eastAsia="黑体" w:cs="黑体"/>
          <w:color w:val="auto"/>
          <w:sz w:val="44"/>
          <w:szCs w:val="44"/>
          <w:highlight w:val="none"/>
          <w:lang w:val="en-US" w:eastAsia="zh-CN"/>
        </w:rPr>
        <w:t xml:space="preserve">投标人</w:t>
      </w:r>
      <w:r>
        <w:rPr>
          <w:rFonts w:hint="eastAsia" w:ascii="黑体" w:hAnsi="宋体" w:eastAsia="黑体" w:cs="黑体"/>
          <w:color w:val="auto"/>
          <w:sz w:val="44"/>
          <w:szCs w:val="44"/>
          <w:highlight w:val="none"/>
        </w:rPr>
        <w:t xml:space="preserve">须知</w:t>
      </w:r>
      <w:bookmarkEnd w:id="35"/>
      <w:r/>
      <w:bookmarkEnd w:id="36"/>
      <w:r/>
      <w:bookmarkEnd w:id="37"/>
      <w:r/>
      <w:bookmarkEnd w:id="38"/>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39" w:name="_Toc20823275"/>
      <w:r/>
      <w:bookmarkStart w:id="40" w:name="_Toc16938519"/>
      <w:r/>
      <w:bookmarkStart w:id="41" w:name="_Toc120614214"/>
      <w:r/>
      <w:bookmarkStart w:id="42" w:name="_Toc513029203"/>
      <w:r/>
      <w:bookmarkStart w:id="43" w:name="_Hlt16619475"/>
      <w:r>
        <w:rPr>
          <w:rFonts w:hint="eastAsia" w:ascii="宋体" w:hAnsi="宋体" w:eastAsia="宋体" w:cs="宋体"/>
          <w:b/>
          <w:bCs/>
          <w:color w:val="auto"/>
          <w:sz w:val="24"/>
          <w:szCs w:val="20"/>
          <w:highlight w:val="none"/>
        </w:rPr>
        <w:t xml:space="preserve">一、总则</w:t>
      </w:r>
      <w:bookmarkEnd w:id="39"/>
      <w:r/>
      <w:bookmarkEnd w:id="40"/>
      <w:r/>
      <w:bookmarkEnd w:id="41"/>
      <w:r/>
      <w:bookmarkEnd w:id="42"/>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44" w:name="_Toc16938520"/>
      <w:r/>
      <w:bookmarkStart w:id="45" w:name="_Toc458694821"/>
      <w:r/>
      <w:bookmarkStart w:id="46" w:name="_Toc20823276"/>
      <w:r/>
      <w:bookmarkStart w:id="47" w:name="_Toc513029204"/>
      <w:r>
        <w:rPr>
          <w:rFonts w:hint="eastAsia" w:ascii="宋体" w:hAnsi="宋体" w:eastAsia="宋体" w:cs="宋体"/>
          <w:b/>
          <w:bCs/>
          <w:color w:val="auto"/>
          <w:sz w:val="24"/>
          <w:szCs w:val="20"/>
          <w:highlight w:val="none"/>
        </w:rPr>
        <w:t xml:space="preserve">1</w:t>
      </w:r>
      <w:bookmarkEnd w:id="44"/>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招标方式</w:t>
      </w:r>
      <w:bookmarkEnd w:id="45"/>
      <w:r/>
      <w:bookmarkEnd w:id="46"/>
      <w:r/>
      <w:bookmarkEnd w:id="47"/>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1.1本次招标采取公开招标方式，本招标文件仅适用于招标公告中所述项目。</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48" w:name="_Toc16938521"/>
      <w:r/>
      <w:bookmarkStart w:id="49" w:name="_Toc513029205"/>
      <w:r/>
      <w:bookmarkStart w:id="50" w:name="_Toc20823277"/>
      <w:r>
        <w:rPr>
          <w:rFonts w:hint="eastAsia" w:ascii="宋体" w:hAnsi="宋体" w:eastAsia="宋体" w:cs="宋体"/>
          <w:b/>
          <w:bCs/>
          <w:color w:val="auto"/>
          <w:sz w:val="24"/>
          <w:szCs w:val="20"/>
          <w:highlight w:val="none"/>
        </w:rPr>
        <w:t xml:space="preserve">2</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合格的投标人</w:t>
      </w:r>
      <w:bookmarkEnd w:id="48"/>
      <w:r/>
      <w:bookmarkEnd w:id="49"/>
      <w:r/>
      <w:bookmarkEnd w:id="50"/>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2.1满足招标公告中供应商的资格要求的规定。</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2.2满足本文件实质性要求和条件的规定。</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51" w:name="_Toc513029206"/>
      <w:r/>
      <w:bookmarkStart w:id="52" w:name="_Toc16938522"/>
      <w:r/>
      <w:bookmarkStart w:id="53" w:name="_Toc20823278"/>
      <w:r>
        <w:rPr>
          <w:rFonts w:hint="eastAsia" w:ascii="宋体" w:hAnsi="宋体" w:eastAsia="宋体" w:cs="宋体"/>
          <w:b/>
          <w:bCs/>
          <w:color w:val="auto"/>
          <w:sz w:val="24"/>
          <w:szCs w:val="20"/>
          <w:highlight w:val="none"/>
        </w:rPr>
        <w:t xml:space="preserve">3</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适用法律</w:t>
      </w:r>
      <w:bookmarkEnd w:id="51"/>
      <w:r/>
      <w:bookmarkEnd w:id="52"/>
      <w:r/>
      <w:bookmarkEnd w:id="53"/>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3.1本次招标及由此产生的合同受中华人民共和国有关的法律法规制约和保护。</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54" w:name="_Toc513029207"/>
      <w:r/>
      <w:bookmarkStart w:id="55" w:name="_Toc462564067"/>
      <w:r/>
      <w:bookmarkStart w:id="56" w:name="_Toc16938523"/>
      <w:r/>
      <w:bookmarkStart w:id="57" w:name="_Toc20823279"/>
      <w:r>
        <w:rPr>
          <w:rFonts w:hint="eastAsia" w:ascii="宋体" w:hAnsi="宋体" w:eastAsia="宋体" w:cs="宋体"/>
          <w:b/>
          <w:bCs/>
          <w:color w:val="auto"/>
          <w:sz w:val="24"/>
          <w:szCs w:val="20"/>
          <w:highlight w:val="none"/>
        </w:rPr>
        <w:t xml:space="preserve">4</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投标费用</w:t>
      </w:r>
      <w:bookmarkEnd w:id="54"/>
      <w:r/>
      <w:bookmarkEnd w:id="55"/>
      <w:r/>
      <w:bookmarkEnd w:id="56"/>
      <w:r/>
      <w:bookmarkEnd w:id="57"/>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4.2本次招标采购中心和采购人不收取标书工本费与中标服务费。</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5</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招标文件的约束力</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5.1投标人一旦参加本项目采购活动，即被认为接受了本招标文件的规定和约束。</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58" w:name="_Toc16938525"/>
      <w:r/>
      <w:bookmarkStart w:id="59" w:name="_Toc120614215"/>
      <w:r/>
      <w:bookmarkStart w:id="60" w:name="_Toc513029209"/>
      <w:r/>
      <w:bookmarkStart w:id="61" w:name="_Toc20823281"/>
      <w:r>
        <w:rPr>
          <w:rFonts w:hint="eastAsia" w:ascii="宋体" w:hAnsi="宋体" w:eastAsia="宋体" w:cs="宋体"/>
          <w:b/>
          <w:bCs/>
          <w:color w:val="auto"/>
          <w:sz w:val="24"/>
          <w:szCs w:val="20"/>
          <w:highlight w:val="none"/>
        </w:rPr>
        <w:t xml:space="preserve">二、招标文件</w:t>
      </w:r>
      <w:bookmarkEnd w:id="58"/>
      <w:r/>
      <w:bookmarkEnd w:id="59"/>
      <w:r/>
      <w:bookmarkEnd w:id="60"/>
      <w:r/>
      <w:bookmarkEnd w:id="61"/>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62" w:name="_Toc20823282"/>
      <w:r/>
      <w:bookmarkStart w:id="63" w:name="_Toc16938526"/>
      <w:r/>
      <w:bookmarkStart w:id="64" w:name="_Toc513029210"/>
      <w:r>
        <w:rPr>
          <w:rFonts w:hint="eastAsia" w:ascii="宋体" w:hAnsi="宋体" w:eastAsia="宋体" w:cs="宋体"/>
          <w:b/>
          <w:bCs/>
          <w:color w:val="auto"/>
          <w:sz w:val="24"/>
          <w:szCs w:val="20"/>
          <w:highlight w:val="none"/>
        </w:rPr>
        <w:t xml:space="preserve">6</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招标文件构成</w:t>
      </w:r>
      <w:bookmarkEnd w:id="62"/>
      <w:r/>
      <w:bookmarkEnd w:id="63"/>
      <w:r/>
      <w:bookmarkEnd w:id="64"/>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6.1 招标文件由以下部分组成：</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（1）招标公告</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（2）投标人须知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（3）合同文本</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（4）采购需求</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（5）定标原则与评标标准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（6）投标文件格式</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请仔细检查招标文件是否齐全，如有缺漏请立即与采购中心联系解决。</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65" w:name="_Toc16938527"/>
      <w:r/>
      <w:bookmarkStart w:id="66" w:name="_Toc462564070"/>
      <w:r/>
      <w:bookmarkStart w:id="67" w:name="_Toc513029211"/>
      <w:r/>
      <w:bookmarkStart w:id="68" w:name="_Toc20823283"/>
      <w:r>
        <w:rPr>
          <w:rFonts w:hint="eastAsia" w:ascii="宋体" w:hAnsi="宋体" w:eastAsia="宋体" w:cs="宋体"/>
          <w:b/>
          <w:bCs/>
          <w:color w:val="auto"/>
          <w:sz w:val="24"/>
          <w:szCs w:val="20"/>
          <w:highlight w:val="none"/>
        </w:rPr>
        <w:t xml:space="preserve">7</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招标文件的澄清</w:t>
      </w:r>
      <w:bookmarkEnd w:id="65"/>
      <w:r/>
      <w:bookmarkEnd w:id="66"/>
      <w:r/>
      <w:bookmarkEnd w:id="67"/>
      <w:r/>
      <w:bookmarkEnd w:id="68"/>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7.1任何要求对招标文件进行澄清的投标人，应在投标截止期</w:t>
      </w:r>
      <w:r>
        <w:rPr>
          <w:rFonts w:hint="eastAsia" w:ascii="宋体" w:hAnsi="宋体" w:eastAsia="宋体" w:cs="宋体"/>
          <w:b/>
          <w:bCs/>
          <w:color w:val="auto"/>
          <w:sz w:val="24"/>
          <w:szCs w:val="20"/>
          <w:highlight w:val="none"/>
        </w:rPr>
        <w:t xml:space="preserve">十日</w:t>
      </w:r>
      <w:r>
        <w:rPr>
          <w:rFonts w:hint="eastAsia" w:ascii="宋体" w:hAnsi="宋体" w:eastAsia="宋体" w:cs="宋体"/>
          <w:color w:val="auto"/>
          <w:sz w:val="24"/>
          <w:szCs w:val="20"/>
          <w:highlight w:val="none"/>
        </w:rPr>
        <w:t xml:space="preserve">前按招标公告中的通讯地址，以书面形式通知采购中心。</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69" w:name="_Toc16938528"/>
      <w:r/>
      <w:bookmarkStart w:id="70" w:name="_Toc20823284"/>
      <w:r/>
      <w:bookmarkStart w:id="71" w:name="_Toc513029212"/>
      <w:r/>
      <w:bookmarkStart w:id="72" w:name="_Toc462564071"/>
      <w:r>
        <w:rPr>
          <w:rFonts w:hint="eastAsia" w:ascii="宋体" w:hAnsi="宋体" w:eastAsia="宋体" w:cs="宋体"/>
          <w:b/>
          <w:bCs/>
          <w:color w:val="auto"/>
          <w:sz w:val="24"/>
          <w:szCs w:val="20"/>
          <w:highlight w:val="none"/>
        </w:rPr>
        <w:t xml:space="preserve">8</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招标文件的修改</w:t>
      </w:r>
      <w:bookmarkEnd w:id="69"/>
      <w:r/>
      <w:bookmarkEnd w:id="70"/>
      <w:r/>
      <w:bookmarkEnd w:id="71"/>
      <w:r/>
      <w:bookmarkEnd w:id="72"/>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8.1在投标截止时间前，采购中心可以对招标文件进行修改。</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8.2采购中心有权按照法定的要求推迟投标截止日期和开标日期。</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8.3招标文件的修改将在“中国政府采购网”、“江苏政府采购网”、“盐城市政府采购网”公布，补充文件将作为招标文件的组成部分，并对投标人具有约束力。</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73" w:name="_Toc20823285"/>
      <w:r/>
      <w:bookmarkStart w:id="74" w:name="_Toc16938529"/>
      <w:r/>
      <w:bookmarkStart w:id="75" w:name="_Toc513029213"/>
      <w:r/>
      <w:bookmarkStart w:id="76" w:name="_Toc462564072"/>
      <w:r/>
      <w:bookmarkStart w:id="77" w:name="_Toc120614216"/>
      <w:r>
        <w:rPr>
          <w:rFonts w:hint="eastAsia" w:ascii="宋体" w:hAnsi="宋体" w:eastAsia="宋体" w:cs="宋体"/>
          <w:b/>
          <w:bCs/>
          <w:color w:val="auto"/>
          <w:sz w:val="24"/>
          <w:szCs w:val="20"/>
          <w:highlight w:val="none"/>
        </w:rPr>
        <w:t xml:space="preserve">三、投标文件的编制</w:t>
      </w:r>
      <w:bookmarkEnd w:id="73"/>
      <w:r/>
      <w:bookmarkEnd w:id="74"/>
      <w:r/>
      <w:bookmarkEnd w:id="75"/>
      <w:r/>
      <w:bookmarkEnd w:id="76"/>
      <w:r/>
      <w:bookmarkEnd w:id="77"/>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78" w:name="_Toc462564073"/>
      <w:r/>
      <w:bookmarkStart w:id="79" w:name="_Toc20823286"/>
      <w:r/>
      <w:bookmarkStart w:id="80" w:name="_Toc513029214"/>
      <w:r/>
      <w:bookmarkStart w:id="81" w:name="_Toc16938530"/>
      <w:r>
        <w:rPr>
          <w:rFonts w:hint="eastAsia" w:ascii="宋体" w:hAnsi="宋体" w:eastAsia="宋体" w:cs="宋体"/>
          <w:b/>
          <w:bCs/>
          <w:color w:val="auto"/>
          <w:sz w:val="24"/>
          <w:szCs w:val="20"/>
          <w:highlight w:val="none"/>
        </w:rPr>
        <w:t xml:space="preserve">9</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投标文件的语言及度量衡单位</w:t>
      </w:r>
      <w:bookmarkEnd w:id="78"/>
      <w:r/>
      <w:bookmarkEnd w:id="79"/>
      <w:r/>
      <w:bookmarkEnd w:id="80"/>
      <w:r/>
      <w:bookmarkEnd w:id="81"/>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9.1投标人提交的投标文件以及投标人与采购中心就有关投标的所有来往通知、函件和文件均应使用</w:t>
      </w:r>
      <w:r>
        <w:rPr>
          <w:rFonts w:hint="eastAsia" w:ascii="宋体" w:hAnsi="宋体" w:eastAsia="宋体" w:cs="宋体"/>
          <w:b/>
          <w:bCs/>
          <w:color w:val="auto"/>
          <w:sz w:val="24"/>
          <w:szCs w:val="20"/>
          <w:highlight w:val="none"/>
        </w:rPr>
        <w:t xml:space="preserve">简体中文</w:t>
      </w:r>
      <w:r>
        <w:rPr>
          <w:rFonts w:hint="eastAsia" w:ascii="宋体" w:hAnsi="宋体" w:eastAsia="宋体" w:cs="宋体"/>
          <w:color w:val="auto"/>
          <w:sz w:val="24"/>
          <w:szCs w:val="20"/>
          <w:highlight w:val="none"/>
        </w:rPr>
        <w:t xml:space="preserve">。</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9.2除技术性能另有规定外，投标文件所使用的度量衡单位，均须采用国家法定计量单位。</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82" w:name="_Toc513029215"/>
      <w:r/>
      <w:bookmarkStart w:id="83" w:name="_Toc20823287"/>
      <w:r/>
      <w:bookmarkStart w:id="84" w:name="_Toc16938531"/>
      <w:r/>
      <w:bookmarkStart w:id="85" w:name="_Toc462564074"/>
      <w:r>
        <w:rPr>
          <w:rFonts w:hint="eastAsia" w:ascii="宋体" w:hAnsi="宋体" w:eastAsia="宋体" w:cs="宋体"/>
          <w:b/>
          <w:bCs/>
          <w:color w:val="auto"/>
          <w:sz w:val="24"/>
          <w:szCs w:val="20"/>
          <w:highlight w:val="none"/>
        </w:rPr>
        <w:t xml:space="preserve">10</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投标文件构成</w:t>
      </w:r>
      <w:bookmarkEnd w:id="82"/>
      <w:r/>
      <w:bookmarkEnd w:id="83"/>
      <w:r/>
      <w:bookmarkEnd w:id="84"/>
      <w:r/>
      <w:bookmarkEnd w:id="85"/>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shd w:val="clear" w:color="auto"/>
        <w:widowControl/>
        <w:rPr>
          <w:rFonts w:ascii="宋体" w:hAnsi="宋体" w:eastAsia="宋体" w:cs="宋体"/>
          <w:color w:val="auto"/>
          <w:sz w:val="24"/>
          <w:szCs w:val="20"/>
          <w:highlight w:val="none"/>
        </w:rPr>
      </w:pPr>
      <w:r/>
      <w:bookmarkStart w:id="86" w:name="_Hlt26954840"/>
      <w:r/>
      <w:bookmarkStart w:id="87" w:name="_Hlt26954838"/>
      <w:r/>
      <w:bookmarkStart w:id="88" w:name="_Hlt26670425"/>
      <w:r/>
      <w:bookmarkStart w:id="89" w:name="_Hlt26670486"/>
      <w:r/>
      <w:bookmarkStart w:id="90" w:name="_Hlt26668983"/>
      <w:r/>
      <w:bookmarkStart w:id="91" w:name="_Hlt26670482"/>
      <w:r/>
      <w:bookmarkStart w:id="92" w:name="_Hlt26954842"/>
      <w:r/>
      <w:bookmarkStart w:id="93" w:name="_Hlt26954731"/>
      <w:r/>
      <w:bookmarkStart w:id="94" w:name="_Hlt26954844"/>
      <w:r/>
      <w:bookmarkStart w:id="95" w:name="_Hlt26954848"/>
      <w:r/>
      <w:bookmarkStart w:id="96" w:name="_Hlt26670403"/>
      <w:r/>
      <w:bookmarkStart w:id="97" w:name="_Hlt26670399"/>
      <w:r/>
      <w:bookmarkStart w:id="98" w:name="_Hlt26668975"/>
      <w:r/>
      <w:bookmarkStart w:id="99" w:name="_Hlt26670360"/>
      <w:r/>
      <w:bookmarkStart w:id="100" w:name="_Hlt26954846"/>
      <w:r/>
      <w:bookmarkStart w:id="101" w:name="_Hlt26670373"/>
      <w:r>
        <w:rPr>
          <w:rFonts w:hint="eastAsia" w:ascii="宋体" w:hAnsi="宋体" w:eastAsia="宋体" w:cs="宋体"/>
          <w:color w:val="auto"/>
          <w:sz w:val="24"/>
          <w:szCs w:val="20"/>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02" w:name="_Toc49090507"/>
      <w:r/>
      <w:bookmarkStart w:id="103" w:name="_Toc49090509"/>
      <w:r/>
      <w:bookmarkStart w:id="104" w:name="_Toc513029216"/>
      <w:r/>
      <w:bookmarkStart w:id="105" w:name="_Toc14577354"/>
      <w:r/>
      <w:bookmarkStart w:id="106" w:name="_Toc14577357"/>
      <w:r/>
      <w:bookmarkStart w:id="107" w:name="_Toc513029219"/>
      <w:r>
        <w:rPr>
          <w:rFonts w:hint="eastAsia" w:ascii="宋体" w:hAnsi="宋体" w:eastAsia="宋体" w:cs="宋体"/>
          <w:b/>
          <w:bCs/>
          <w:color w:val="auto"/>
          <w:sz w:val="24"/>
          <w:szCs w:val="20"/>
          <w:highlight w:val="none"/>
        </w:rPr>
        <w:t xml:space="preserve">11</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证明投标人及投标标的符合招标文件规定的文件</w:t>
      </w:r>
      <w:bookmarkEnd w:id="102"/>
      <w:r/>
      <w:bookmarkEnd w:id="103"/>
      <w:r/>
      <w:bookmarkEnd w:id="104"/>
      <w:r/>
      <w:bookmarkEnd w:id="105"/>
      <w:r/>
      <w:bookmarkEnd w:id="106"/>
      <w:r/>
      <w:bookmarkEnd w:id="107"/>
      <w:r/>
      <w:r/>
    </w:p>
    <w:p>
      <w:pPr>
        <w:ind w:firstLine="480"/>
        <w:jc w:val="left"/>
        <w:spacing w:line="560" w:lineRule="exact"/>
        <w:shd w:val="clear" w:color="auto"/>
        <w:widowControl/>
        <w:rPr>
          <w:rFonts w:ascii="宋体" w:hAnsi="宋体" w:eastAsia="宋体" w:cs="宋体"/>
          <w:color w:val="auto"/>
          <w:sz w:val="24"/>
          <w:szCs w:val="20"/>
          <w:highlight w:val="none"/>
        </w:rPr>
      </w:pPr>
      <w:r/>
      <w:bookmarkStart w:id="108" w:name="_Toc14577355"/>
      <w:r/>
      <w:bookmarkStart w:id="109" w:name="_Toc49090508"/>
      <w:r>
        <w:rPr>
          <w:rFonts w:hint="eastAsia" w:ascii="宋体" w:hAnsi="宋体" w:eastAsia="宋体" w:cs="宋体"/>
          <w:color w:val="auto"/>
          <w:sz w:val="24"/>
          <w:szCs w:val="20"/>
          <w:highlight w:val="none"/>
        </w:rPr>
        <w:t xml:space="preserve">11.1投标人应按照法律、法规、规章和规范性文件以及招标文件要求提交证明文件，证明其及投标标的符合招标文件规定。</w:t>
      </w:r>
      <w:bookmarkEnd w:id="108"/>
      <w:r/>
      <w:bookmarkEnd w:id="109"/>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11.2招标文件对证明文件无明确形式要求的，证明文件可以以文字资料、图纸和数据等形式提交。</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12</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投标分项报价表</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12.1投标人应按照招标文件规定格式填报投标分项报价表。</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12.3本项目设定投标报价的最高限价，1年物业服务费最高限价为：</w:t>
      </w:r>
      <w:r>
        <w:rPr>
          <w:rFonts w:hint="eastAsia" w:ascii="宋体" w:hAnsi="宋体" w:eastAsia="宋体" w:cs="宋体"/>
          <w:color w:val="auto"/>
          <w:sz w:val="24"/>
          <w:szCs w:val="20"/>
          <w:highlight w:val="none"/>
          <w:lang w:eastAsia="zh-CN"/>
        </w:rPr>
        <w:t xml:space="preserve">168万元</w:t>
      </w:r>
      <w:r>
        <w:rPr>
          <w:rFonts w:hint="eastAsia" w:ascii="宋体" w:hAnsi="宋体" w:eastAsia="宋体" w:cs="宋体"/>
          <w:color w:val="auto"/>
          <w:sz w:val="24"/>
          <w:szCs w:val="20"/>
          <w:highlight w:val="none"/>
        </w:rPr>
        <w:t xml:space="preserve">，招标人将拒绝高于最高限价的投标报价。</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分项报价表，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（1）用于保洁的日常易耗品、工具等物品由投标人购置并承担费用。</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（2）所有人员的工作服装（分不同季节）由投标人购置并承担费用，通讯、保安用器械等由采购人购置并承担费用。</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（3）各投标人根据采购人提供的服务内容、招标文件及答疑文件等资料要求，并根据市场行情、结合自身公司实力、管理水平等因素，按要求进行报价。</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（4）各投标人自行根据招标人提供的服务内容、招标文件及答疑文件等资料要求，并根据市场行情、结合自身公司实力、管理水平等因素，按要求进行报价。</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（5）服务人员须服从采购人管理，采购人安排的短期加班或活动不另行增加费用。</w:t>
      </w:r>
      <w:r/>
    </w:p>
    <w:p>
      <w:pPr>
        <w:ind w:firstLine="480"/>
        <w:jc w:val="left"/>
        <w:spacing w:line="56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zh-CN"/>
        </w:rPr>
        <w:t xml:space="preserve">12.4</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zh-CN"/>
        </w:rPr>
        <w:t xml:space="preserve">所有人员工资不低于本市最低工资标准</w:t>
      </w:r>
      <w:r>
        <w:rPr>
          <w:rFonts w:hint="eastAsia" w:ascii="宋体" w:hAnsi="宋体" w:eastAsia="宋体" w:cs="宋体"/>
          <w:b/>
          <w:bCs/>
          <w:color w:val="auto"/>
          <w:sz w:val="24"/>
          <w:szCs w:val="20"/>
          <w:highlight w:val="none"/>
        </w:rPr>
        <w:t xml:space="preserve">2260</w:t>
      </w:r>
      <w:r>
        <w:rPr>
          <w:rFonts w:hint="eastAsia" w:ascii="宋体" w:hAnsi="宋体" w:eastAsia="宋体" w:cs="宋体"/>
          <w:b/>
          <w:bCs/>
          <w:color w:val="auto"/>
          <w:sz w:val="24"/>
          <w:szCs w:val="20"/>
          <w:highlight w:val="none"/>
          <w:lang w:val="zh-CN"/>
        </w:rPr>
        <w:t xml:space="preserve">元/人*月，所有人员必须足额缴纳社保费用，</w:t>
      </w:r>
      <w:r>
        <w:rPr>
          <w:rFonts w:hint="eastAsia" w:ascii="宋体" w:hAnsi="宋体" w:eastAsia="宋体" w:cs="宋体"/>
          <w:b/>
          <w:bCs/>
          <w:color w:val="auto"/>
          <w:sz w:val="24"/>
          <w:szCs w:val="20"/>
          <w:highlight w:val="none"/>
        </w:rPr>
        <w:t xml:space="preserve">保险费用应满足执行苏人社发</w:t>
      </w:r>
      <w:r>
        <w:rPr>
          <w:rFonts w:hint="eastAsia" w:ascii="宋体" w:hAnsi="宋体" w:eastAsia="宋体" w:cs="宋体"/>
          <w:b/>
          <w:bCs/>
          <w:color w:val="auto"/>
          <w:sz w:val="24"/>
          <w:szCs w:val="20"/>
          <w:highlight w:val="none"/>
          <w:lang w:eastAsia="zh-CN"/>
        </w:rPr>
        <w:t xml:space="preserve">〔2025〕33号</w:t>
      </w:r>
      <w:r>
        <w:rPr>
          <w:rFonts w:hint="eastAsia" w:ascii="宋体" w:hAnsi="宋体" w:eastAsia="宋体" w:cs="宋体"/>
          <w:b/>
          <w:bCs/>
          <w:color w:val="auto"/>
          <w:sz w:val="24"/>
          <w:szCs w:val="20"/>
          <w:highlight w:val="none"/>
        </w:rPr>
        <w:t xml:space="preserve">&lt;&lt;关于发布2024年度社会保险有关基数的通知&gt;&gt;，调整后的最低基数4879.00元。社保（企业部分）不得低于上述文件标准及规定险种测算（规定险种为“五险”，指养老保险金16%（780.64元）、医疗保险金8%（390.32元）、工伤保险金0.7%（34.15元）、生育保险金0.9%（43.91元）、失业保险金0.5%（24.40元）），即不得低</w:t>
      </w:r>
      <w:r>
        <w:rPr>
          <w:rFonts w:hint="eastAsia" w:ascii="宋体" w:hAnsi="宋体" w:eastAsia="宋体" w:cs="宋体"/>
          <w:b/>
          <w:bCs/>
          <w:color w:val="auto"/>
          <w:sz w:val="24"/>
          <w:szCs w:val="20"/>
          <w:highlight w:val="none"/>
          <w:lang w:eastAsia="zh-CN"/>
        </w:rPr>
        <w:t xml:space="preserve">1292.47</w:t>
      </w:r>
      <w:r>
        <w:rPr>
          <w:rFonts w:hint="eastAsia" w:ascii="宋体" w:hAnsi="宋体" w:eastAsia="宋体" w:cs="宋体"/>
          <w:b/>
          <w:bCs/>
          <w:color w:val="auto"/>
          <w:sz w:val="24"/>
          <w:szCs w:val="20"/>
          <w:highlight w:val="none"/>
        </w:rPr>
        <w:t xml:space="preserve">元/人</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月</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住房公积金不得低于</w:t>
      </w:r>
      <w:r>
        <w:rPr>
          <w:rFonts w:hint="eastAsia" w:ascii="宋体" w:hAnsi="宋体" w:eastAsia="宋体" w:cs="宋体"/>
          <w:b/>
          <w:bCs/>
          <w:color w:val="auto"/>
          <w:sz w:val="24"/>
          <w:szCs w:val="20"/>
          <w:highlight w:val="none"/>
          <w:lang w:val="en-US" w:eastAsia="zh-CN"/>
        </w:rPr>
        <w:t xml:space="preserve">114</w:t>
      </w:r>
      <w:r>
        <w:rPr>
          <w:rFonts w:hint="eastAsia" w:ascii="宋体" w:hAnsi="宋体" w:eastAsia="宋体" w:cs="宋体"/>
          <w:b/>
          <w:bCs/>
          <w:color w:val="auto"/>
          <w:sz w:val="24"/>
          <w:szCs w:val="20"/>
          <w:highlight w:val="none"/>
        </w:rPr>
        <w:t xml:space="preserve">元</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人*月，</w:t>
      </w:r>
      <w:r>
        <w:rPr>
          <w:rFonts w:hint="eastAsia" w:ascii="宋体" w:hAnsi="宋体" w:eastAsia="宋体" w:cs="宋体"/>
          <w:b/>
          <w:bCs/>
          <w:color w:val="auto"/>
          <w:sz w:val="24"/>
          <w:szCs w:val="20"/>
          <w:highlight w:val="none"/>
        </w:rPr>
        <w:t xml:space="preserve">法定节假日加班费不得低于4052.41元</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人</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年，税金费率统一按6.72%进行报价。</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12.5投标人根据招标内容的要求准确报价，一经报出，不得更改。</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12.7对于超出招标文件的其他临时性服务项目，由甲乙双方协商解决。</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13</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技术要求响应及偏离表、商务要求响应及偏离表</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13.1投标人需对招标文件中的技术要求与商务要求逐项作出响应或偏离，并说明原因。</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13.2投标人可在投标文件中提供认为需要的其他技术文件或说明。</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bookmarkStart w:id="110" w:name="_Toc49090510"/>
      <w:r/>
      <w:bookmarkStart w:id="111" w:name="_Toc14577359"/>
      <w:r>
        <w:rPr>
          <w:rFonts w:hint="eastAsia" w:ascii="宋体" w:hAnsi="宋体" w:eastAsia="宋体" w:cs="宋体"/>
          <w:b/>
          <w:bCs/>
          <w:color w:val="auto"/>
          <w:sz w:val="24"/>
          <w:szCs w:val="20"/>
          <w:highlight w:val="none"/>
          <w:lang w:val="zh-CN"/>
        </w:rPr>
        <w:t xml:space="preserve">14</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投标函和开标一览表</w:t>
      </w:r>
      <w:bookmarkEnd w:id="110"/>
      <w:r/>
      <w:bookmarkEnd w:id="111"/>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14.1投标人应按照招标文件中提供的格式完整、正确填写投标函、开标一览表。</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14.3投标文件的大写金额和小写金额不一致的，以大写金额为准；对不同文字文本投标的解释发生异议的，以中文文本为准。</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bookmarkStart w:id="112" w:name="_Toc14577360"/>
      <w:r/>
      <w:bookmarkStart w:id="113" w:name="_Toc49090511"/>
      <w:r/>
      <w:bookmarkStart w:id="114" w:name="_Hlt26954850"/>
      <w:r/>
      <w:bookmarkStart w:id="115" w:name="_Hlt26954734"/>
      <w:r/>
      <w:bookmarkStart w:id="116" w:name="_Hlt26670489"/>
      <w:r>
        <w:rPr>
          <w:rFonts w:hint="eastAsia" w:ascii="宋体" w:hAnsi="宋体" w:eastAsia="宋体" w:cs="宋体"/>
          <w:b/>
          <w:bCs/>
          <w:color w:val="auto"/>
          <w:sz w:val="24"/>
          <w:szCs w:val="20"/>
          <w:highlight w:val="none"/>
          <w:lang w:val="zh-CN"/>
        </w:rPr>
        <w:t xml:space="preserve">15</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投标有效期</w:t>
      </w:r>
      <w:bookmarkEnd w:id="112"/>
      <w:r/>
      <w:bookmarkEnd w:id="113"/>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15.1投标有效期为采购中心规定的开标之日后</w:t>
      </w:r>
      <w:r>
        <w:rPr>
          <w:rFonts w:hint="eastAsia" w:ascii="宋体" w:hAnsi="宋体" w:eastAsia="宋体" w:cs="宋体"/>
          <w:b/>
          <w:bCs/>
          <w:color w:val="auto"/>
          <w:sz w:val="24"/>
          <w:szCs w:val="20"/>
          <w:highlight w:val="none"/>
          <w:u w:val="single"/>
          <w:lang w:eastAsia="zh-CN"/>
        </w:rPr>
        <w:t xml:space="preserve">九十</w:t>
      </w:r>
      <w:r>
        <w:rPr>
          <w:rFonts w:hint="eastAsia" w:ascii="宋体" w:hAnsi="宋体" w:eastAsia="宋体" w:cs="宋体"/>
          <w:b/>
          <w:bCs/>
          <w:color w:val="auto"/>
          <w:sz w:val="24"/>
          <w:szCs w:val="20"/>
          <w:highlight w:val="none"/>
          <w:u w:val="single"/>
        </w:rPr>
        <w:t xml:space="preserve">（</w:t>
      </w:r>
      <w:r>
        <w:rPr>
          <w:rFonts w:hint="eastAsia" w:ascii="宋体" w:hAnsi="宋体" w:eastAsia="宋体" w:cs="宋体"/>
          <w:b/>
          <w:bCs/>
          <w:color w:val="auto"/>
          <w:sz w:val="24"/>
          <w:szCs w:val="20"/>
          <w:highlight w:val="none"/>
          <w:u w:val="single"/>
          <w:lang w:val="en-US" w:eastAsia="zh-CN"/>
        </w:rPr>
        <w:t xml:space="preserve">90</w:t>
      </w:r>
      <w:r>
        <w:rPr>
          <w:rFonts w:hint="eastAsia" w:ascii="宋体" w:hAnsi="宋体" w:eastAsia="宋体" w:cs="宋体"/>
          <w:b/>
          <w:bCs/>
          <w:color w:val="auto"/>
          <w:sz w:val="24"/>
          <w:szCs w:val="20"/>
          <w:highlight w:val="none"/>
          <w:u w:val="single"/>
        </w:rPr>
        <w:t xml:space="preserve">）天</w:t>
      </w:r>
      <w:r>
        <w:rPr>
          <w:rFonts w:hint="eastAsia" w:ascii="宋体" w:hAnsi="宋体" w:eastAsia="宋体" w:cs="宋体"/>
          <w:color w:val="auto"/>
          <w:sz w:val="24"/>
          <w:szCs w:val="20"/>
          <w:highlight w:val="none"/>
        </w:rPr>
        <w:t xml:space="preserve">。投标有效期比规定</w:t>
      </w:r>
      <w:r>
        <w:rPr>
          <w:rFonts w:hint="eastAsia" w:ascii="宋体" w:hAnsi="宋体" w:eastAsia="宋体" w:cs="宋体"/>
          <w:color w:val="auto"/>
          <w:sz w:val="24"/>
          <w:szCs w:val="20"/>
          <w:highlight w:val="none"/>
          <w:lang w:val="zh-CN"/>
        </w:rPr>
        <w:t xml:space="preserve">短的将被视为未实质性响应招标文件而予以拒绝。</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16</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投标有效期的延长</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bookmarkStart w:id="117" w:name="_Toc513029224"/>
      <w:r/>
      <w:bookmarkStart w:id="118" w:name="_Toc120614217"/>
      <w:r/>
      <w:bookmarkStart w:id="119" w:name="_Toc16938540"/>
      <w:r/>
      <w:bookmarkStart w:id="120" w:name="_Toc20823296"/>
      <w:r/>
      <w:bookmarkStart w:id="121" w:name="_Hlt26954852"/>
      <w:r/>
      <w:bookmarkStart w:id="122" w:name="_Hlt26954739"/>
      <w:r>
        <w:rPr>
          <w:rFonts w:hint="eastAsia" w:ascii="宋体" w:hAnsi="宋体" w:eastAsia="宋体" w:cs="宋体"/>
          <w:b/>
          <w:bCs/>
          <w:color w:val="auto"/>
          <w:sz w:val="24"/>
          <w:szCs w:val="20"/>
          <w:highlight w:val="none"/>
          <w:lang w:val="zh-CN"/>
        </w:rPr>
        <w:t xml:space="preserve">四、投标文件的递交</w:t>
      </w:r>
      <w:bookmarkEnd w:id="117"/>
      <w:r/>
      <w:bookmarkEnd w:id="118"/>
      <w:r/>
      <w:bookmarkEnd w:id="119"/>
      <w:r/>
      <w:bookmarkEnd w:id="120"/>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bookmarkStart w:id="123" w:name="_Toc20823297"/>
      <w:r/>
      <w:bookmarkStart w:id="124" w:name="_Toc16938541"/>
      <w:r/>
      <w:bookmarkStart w:id="125" w:name="_Toc513029225"/>
      <w:r/>
      <w:bookmarkStart w:id="126" w:name="_Toc462564084"/>
      <w:r>
        <w:rPr>
          <w:rFonts w:hint="eastAsia" w:ascii="宋体" w:hAnsi="宋体" w:eastAsia="宋体" w:cs="宋体"/>
          <w:b/>
          <w:bCs/>
          <w:color w:val="auto"/>
          <w:sz w:val="24"/>
          <w:szCs w:val="20"/>
          <w:highlight w:val="none"/>
          <w:lang w:val="zh-CN"/>
        </w:rPr>
        <w:t xml:space="preserve">17</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投标文件</w:t>
      </w:r>
      <w:bookmarkEnd w:id="123"/>
      <w:r/>
      <w:bookmarkEnd w:id="124"/>
      <w:r/>
      <w:bookmarkEnd w:id="125"/>
      <w:r/>
      <w:bookmarkEnd w:id="126"/>
      <w:r>
        <w:rPr>
          <w:rFonts w:hint="eastAsia" w:ascii="宋体" w:hAnsi="宋体" w:eastAsia="宋体" w:cs="宋体"/>
          <w:b/>
          <w:bCs/>
          <w:color w:val="auto"/>
          <w:sz w:val="24"/>
          <w:szCs w:val="20"/>
          <w:highlight w:val="none"/>
          <w:lang w:val="zh-CN"/>
        </w:rPr>
        <w:t xml:space="preserve">的递交</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17.1 电子投标文件的递交</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投标人应当按照《操作手册》规定，在投标截止时间前制作并上传电子投标文件。</w:t>
      </w:r>
      <w:bookmarkStart w:id="127" w:name="_Toc16938542"/>
      <w:r/>
      <w:bookmarkEnd w:id="127"/>
      <w:r/>
      <w:bookmarkStart w:id="128" w:name="_Toc20823298"/>
      <w:r/>
      <w:bookmarkEnd w:id="128"/>
      <w:r/>
      <w:bookmarkStart w:id="129" w:name="_Toc513029226"/>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30" w:name="_Toc513029227"/>
      <w:r/>
      <w:bookmarkStart w:id="131" w:name="_Toc16938543"/>
      <w:r/>
      <w:bookmarkStart w:id="132" w:name="_Toc20823299"/>
      <w:r>
        <w:rPr>
          <w:rFonts w:hint="eastAsia" w:ascii="宋体" w:hAnsi="宋体" w:eastAsia="宋体" w:cs="宋体"/>
          <w:b/>
          <w:bCs/>
          <w:color w:val="auto"/>
          <w:sz w:val="24"/>
          <w:szCs w:val="20"/>
          <w:highlight w:val="none"/>
        </w:rPr>
        <w:t xml:space="preserve">18</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投标截止时间</w:t>
      </w:r>
      <w:r/>
    </w:p>
    <w:p>
      <w:pPr>
        <w:ind w:firstLine="480"/>
        <w:jc w:val="left"/>
        <w:spacing w:line="560" w:lineRule="exact"/>
        <w:shd w:val="clear" w:color="auto"/>
        <w:widowControl/>
        <w:rPr>
          <w:rFonts w:ascii="宋体" w:hAnsi="宋体" w:eastAsia="宋体" w:cs="宋体"/>
          <w:i/>
          <w:iCs/>
          <w:color w:val="auto"/>
          <w:sz w:val="24"/>
          <w:szCs w:val="20"/>
          <w:highlight w:val="none"/>
          <w:u w:val="single"/>
        </w:rPr>
      </w:pPr>
      <w:r>
        <w:rPr>
          <w:rFonts w:hint="eastAsia" w:ascii="宋体" w:hAnsi="宋体" w:eastAsia="宋体" w:cs="宋体"/>
          <w:i/>
          <w:iCs/>
          <w:color w:val="auto"/>
          <w:sz w:val="24"/>
          <w:szCs w:val="20"/>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0"/>
          <w:highlight w:val="none"/>
          <w:u w:val="none"/>
        </w:rPr>
        <w:t xml:space="preserve">。</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18.2采购中心可以按照规定，通过修改招标文件酌情延长投标截止时间，在此情况下，投标人的所有权利和义务以及投标人受制的截止时间均应以延长后新的截止时间为准。</w:t>
      </w:r>
      <w:bookmarkEnd w:id="130"/>
      <w:r/>
      <w:bookmarkEnd w:id="131"/>
      <w:r/>
      <w:bookmarkEnd w:id="132"/>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19</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投标文件的拒收</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19.1采购中心拒绝接收在其规定的投标截止时间后上传的任何投标文件。</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33" w:name="_Toc16938544"/>
      <w:r/>
      <w:bookmarkStart w:id="134" w:name="_Toc20823300"/>
      <w:r/>
      <w:bookmarkStart w:id="135" w:name="_Toc513029228"/>
      <w:r>
        <w:rPr>
          <w:rFonts w:hint="eastAsia" w:ascii="宋体" w:hAnsi="宋体" w:eastAsia="宋体" w:cs="宋体"/>
          <w:b/>
          <w:bCs/>
          <w:color w:val="auto"/>
          <w:sz w:val="24"/>
          <w:szCs w:val="20"/>
          <w:highlight w:val="none"/>
        </w:rPr>
        <w:t xml:space="preserve">20</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投标文件的撤回和修改</w:t>
      </w:r>
      <w:bookmarkEnd w:id="133"/>
      <w:r/>
      <w:bookmarkEnd w:id="134"/>
      <w:r/>
      <w:bookmarkEnd w:id="135"/>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20.1投标文件的撤回</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rPr>
        <w:t xml:space="preserve">.1.1电子投标文件的撤回</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投标人可在投标截止时间前，撤回其电子投标文件，具体操作方法见《操作手册》。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rPr>
        <w:t xml:space="preserve">.1.2投标人撤回电子投标文件，则认为其不再参与本项目投标活动。</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20.2 投标文件的修改</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20.2.1投标人可在投标截止时间前，对其电子投标文件进行修改，具体操作方法见《操作手册》。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20.2.2在投标截止时间之后，投标人不得对其电子投标文件作任何修改。</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20.3在投标截止时间至招标文件中规定的投标有效期满之间的这段时间内，投标人不得撤回其投标。</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36" w:name="_Toc20823301"/>
      <w:r/>
      <w:bookmarkStart w:id="137" w:name="_Toc16938545"/>
      <w:r/>
      <w:bookmarkStart w:id="138" w:name="_Toc120614218"/>
      <w:r/>
      <w:bookmarkStart w:id="139" w:name="_Toc513029229"/>
      <w:r>
        <w:rPr>
          <w:rFonts w:hint="eastAsia" w:ascii="宋体" w:hAnsi="宋体" w:eastAsia="宋体" w:cs="宋体"/>
          <w:b/>
          <w:bCs/>
          <w:color w:val="auto"/>
          <w:sz w:val="24"/>
          <w:szCs w:val="20"/>
          <w:highlight w:val="none"/>
        </w:rPr>
        <w:t xml:space="preserve">五、开标与评标</w:t>
      </w:r>
      <w:bookmarkEnd w:id="136"/>
      <w:r/>
      <w:bookmarkEnd w:id="137"/>
      <w:r/>
      <w:bookmarkEnd w:id="138"/>
      <w:r/>
      <w:bookmarkEnd w:id="139"/>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40" w:name="_Toc16938546"/>
      <w:r/>
      <w:bookmarkStart w:id="141" w:name="_Toc20823302"/>
      <w:r/>
      <w:bookmarkStart w:id="142" w:name="_Toc513029230"/>
      <w:r>
        <w:rPr>
          <w:rFonts w:hint="eastAsia" w:ascii="宋体" w:hAnsi="宋体" w:eastAsia="宋体" w:cs="宋体"/>
          <w:b/>
          <w:bCs/>
          <w:color w:val="auto"/>
          <w:sz w:val="24"/>
          <w:szCs w:val="20"/>
          <w:highlight w:val="none"/>
        </w:rPr>
        <w:t xml:space="preserve">21</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开标</w:t>
      </w:r>
      <w:bookmarkEnd w:id="140"/>
      <w:r/>
      <w:bookmarkEnd w:id="141"/>
      <w:r/>
      <w:bookmarkEnd w:id="142"/>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21.2开标仪式由采购中心组织。苏采云系统将自动对项目进行开标，并宣布各投标人名称和投标价格。</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21.3投标人在开标过程中涉及到的投标文件解密、开标结果确认等工作，应按照《操作手册》规定执行。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43" w:name="_Toc16938547"/>
      <w:r/>
      <w:bookmarkStart w:id="144" w:name="_Toc20823303"/>
      <w:r/>
      <w:bookmarkStart w:id="145" w:name="_Toc513029231"/>
      <w:r>
        <w:rPr>
          <w:rFonts w:hint="eastAsia" w:ascii="宋体" w:hAnsi="宋体" w:eastAsia="宋体" w:cs="宋体"/>
          <w:b/>
          <w:bCs/>
          <w:color w:val="auto"/>
          <w:sz w:val="24"/>
          <w:szCs w:val="20"/>
          <w:highlight w:val="none"/>
        </w:rPr>
        <w:t xml:space="preserve">22</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评标委员会</w:t>
      </w:r>
      <w:bookmarkEnd w:id="143"/>
      <w:r/>
      <w:bookmarkEnd w:id="144"/>
      <w:r/>
      <w:bookmarkEnd w:id="145"/>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22.1开标后，采购中心将立即组织评标委员会（以下简称评委会）进行评标。</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22.2评委会由采购人代表和有关技术、经济等方面的专家组成，且人员构成符合政府采购有关规定。</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22.3评委会独立工作，负责评审所有投标文件并确定中标</w:t>
      </w:r>
      <w:r>
        <w:rPr>
          <w:rFonts w:hint="eastAsia" w:ascii="宋体" w:hAnsi="宋体" w:eastAsia="宋体" w:cs="宋体"/>
          <w:color w:val="auto"/>
          <w:sz w:val="24"/>
          <w:szCs w:val="20"/>
          <w:highlight w:val="none"/>
          <w:lang w:val="en-US" w:eastAsia="zh-CN"/>
        </w:rPr>
        <w:t xml:space="preserve">候</w:t>
      </w:r>
      <w:r>
        <w:rPr>
          <w:rFonts w:hint="eastAsia" w:ascii="宋体" w:hAnsi="宋体" w:eastAsia="宋体" w:cs="宋体"/>
          <w:color w:val="auto"/>
          <w:sz w:val="24"/>
          <w:szCs w:val="20"/>
          <w:highlight w:val="none"/>
        </w:rPr>
        <w:t xml:space="preserve">选人。</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23</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评标过程的保密与公正</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23.1凡是与审查、澄清、评价和比较投标的有关资料以及授标建议等，采购人、评委、采购中心均不得向投标人或与评标无关的其他人员透露。</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23.2在评标过程中，投标人不得以任何行为影响评标过程，否则其投标文件将被作为无效投标文件。</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23.3采购中心和评标委员会不向未中标的投标人解释未中标原因，也不公布评标过程中的相关细节。</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46" w:name="_Toc16938548"/>
      <w:r/>
      <w:bookmarkStart w:id="147" w:name="_Toc513029232"/>
      <w:r/>
      <w:bookmarkStart w:id="148" w:name="_Toc20823304"/>
      <w:r>
        <w:rPr>
          <w:rFonts w:hint="eastAsia" w:ascii="宋体" w:hAnsi="宋体" w:eastAsia="宋体" w:cs="宋体"/>
          <w:b/>
          <w:bCs/>
          <w:color w:val="auto"/>
          <w:sz w:val="24"/>
          <w:szCs w:val="20"/>
          <w:highlight w:val="none"/>
        </w:rPr>
        <w:t xml:space="preserve">24</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投标文件的澄清</w:t>
      </w:r>
      <w:bookmarkEnd w:id="146"/>
      <w:r/>
      <w:bookmarkEnd w:id="147"/>
      <w:r/>
      <w:bookmarkEnd w:id="148"/>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24.1评标期间，评委会对投标文件中含义不明确、同类问题表述不一致或者有明显文字和计算错误的内容 ，有权要求投标人作出必要的澄清、说明或者补正。</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投标人的澄清、说明或者补正不得超出投标文件的范围或者改变投标文件的实质性内容。</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评标委员会并非对每个投标人都做澄清要求。</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24.3接到评委会澄清、说明和补正要求的投标人如未按规定做出澄清、说明和补正，其风险由投标人自行承担。</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49" w:name="_Toc513029233"/>
      <w:r/>
      <w:bookmarkStart w:id="150" w:name="_Toc20823305"/>
      <w:r/>
      <w:bookmarkStart w:id="151" w:name="_Toc16938549"/>
      <w:r>
        <w:rPr>
          <w:rFonts w:hint="eastAsia" w:ascii="宋体" w:hAnsi="宋体" w:eastAsia="宋体" w:cs="宋体"/>
          <w:b/>
          <w:bCs/>
          <w:color w:val="auto"/>
          <w:sz w:val="24"/>
          <w:szCs w:val="20"/>
          <w:highlight w:val="none"/>
        </w:rPr>
        <w:t xml:space="preserve">25</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对投标文件的初审</w:t>
      </w:r>
      <w:bookmarkEnd w:id="149"/>
      <w:r/>
      <w:bookmarkEnd w:id="150"/>
      <w:r/>
      <w:bookmarkEnd w:id="151"/>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25.1投标文件初审分为资格审查和符合性审查。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（1）投标文件中开标一览表内容与投标文件中相应内容不一致的，以开标一览表为准。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（2）大写金额和小写金额不一致的，以大写金额为准。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（3）单价金额小数点或者百分比有明显错位的，以开标一览表的总价为准，并修改单价。</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（4）总价金额与按单价汇总金额不一致的，以单价金额计算结果为准。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同时出现两种以上错误的，按照前款规定的顺序修正。</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shd w:val="clear" w:color="auto"/>
        <w:widowControl/>
        <w:rPr>
          <w:rFonts w:ascii="宋体" w:hAnsi="宋体" w:eastAsia="宋体" w:cs="宋体"/>
          <w:color w:val="auto"/>
          <w:sz w:val="24"/>
          <w:szCs w:val="20"/>
          <w:highlight w:val="none"/>
        </w:rPr>
      </w:pPr>
      <w:r/>
      <w:bookmarkStart w:id="152" w:name="_Toc16938550"/>
      <w:r/>
      <w:bookmarkStart w:id="153" w:name="_Toc513029234"/>
      <w:r/>
      <w:bookmarkStart w:id="154" w:name="_Toc20823306"/>
      <w:r>
        <w:rPr>
          <w:rFonts w:hint="eastAsia" w:ascii="宋体" w:hAnsi="宋体" w:eastAsia="宋体" w:cs="宋体"/>
          <w:color w:val="auto"/>
          <w:sz w:val="24"/>
          <w:szCs w:val="20"/>
          <w:highlight w:val="none"/>
        </w:rPr>
        <w:t xml:space="preserve">25.6投标人在开、评标全过程中应保持通讯畅通，及时登录苏采云系统查阅、答复相关信息，并安排专人与采购中心及评标委员会联系。</w:t>
      </w:r>
      <w:bookmarkEnd w:id="152"/>
      <w:r/>
      <w:bookmarkEnd w:id="153"/>
      <w:r/>
      <w:bookmarkEnd w:id="154"/>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26</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无效投标条款和废标条款</w:t>
      </w:r>
      <w:r/>
    </w:p>
    <w:p>
      <w:pPr>
        <w:ind w:firstLine="480"/>
        <w:jc w:val="left"/>
        <w:spacing w:line="560" w:lineRule="exact"/>
        <w:shd w:val="clear" w:color="auto"/>
        <w:widowControl/>
        <w:rPr>
          <w:rFonts w:ascii="宋体" w:hAnsi="宋体" w:eastAsia="宋体" w:cs="宋体"/>
          <w:color w:val="auto"/>
          <w:sz w:val="24"/>
          <w:szCs w:val="20"/>
          <w:highlight w:val="none"/>
        </w:rPr>
      </w:pPr>
      <w:r/>
      <w:bookmarkStart w:id="155" w:name="_Toc513029235"/>
      <w:r/>
      <w:bookmarkStart w:id="156" w:name="_Toc16938551"/>
      <w:r/>
      <w:bookmarkStart w:id="157" w:name="_Toc20823307"/>
      <w:r>
        <w:rPr>
          <w:rFonts w:hint="eastAsia" w:ascii="宋体" w:hAnsi="宋体" w:eastAsia="宋体" w:cs="宋体"/>
          <w:color w:val="auto"/>
          <w:sz w:val="24"/>
          <w:szCs w:val="20"/>
          <w:highlight w:val="none"/>
        </w:rPr>
        <w:t xml:space="preserve">26.1无效投标条款</w:t>
      </w:r>
      <w:bookmarkEnd w:id="155"/>
      <w:r/>
      <w:bookmarkEnd w:id="156"/>
      <w:r/>
      <w:bookmarkEnd w:id="157"/>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26.1.1投标人在苏采云系统规定的时间内未成功解密电子投标文件的。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26.1.2投标人未按照招标文件要求上传电子投标文件的。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26.1.3同一投标人提交两个（含两个）以上不同的投标报价的。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26.1.4投标人不具备招标文件中规定资格要求的。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26.1.5投标人的报价超过了采购预算或最高限价的。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26.1.6未通过符合性审查的。</w:t>
      </w:r>
      <w:r/>
    </w:p>
    <w:p>
      <w:pPr>
        <w:ind w:firstLine="480"/>
        <w:jc w:val="left"/>
        <w:spacing w:line="560" w:lineRule="exact"/>
        <w:shd w:val="clear" w:color="auto"/>
        <w:widowControl/>
        <w:rPr>
          <w:color w:val="auto"/>
          <w:highlight w:val="none"/>
        </w:rPr>
      </w:pPr>
      <w:r>
        <w:rPr>
          <w:rFonts w:hint="eastAsia" w:ascii="宋体" w:hAnsi="宋体" w:eastAsia="宋体" w:cs="宋体"/>
          <w:color w:val="auto"/>
          <w:sz w:val="24"/>
          <w:szCs w:val="20"/>
          <w:highlight w:val="none"/>
        </w:rPr>
        <w:t xml:space="preserve">26.1.7不符合招标文件中规定的实质性要求和条件的</w:t>
      </w:r>
      <w:r>
        <w:rPr>
          <w:rFonts w:hint="eastAsia" w:ascii="宋体" w:hAnsi="宋体" w:eastAsia="宋体" w:cs="宋体"/>
          <w:i/>
          <w:iCs/>
          <w:color w:val="auto"/>
          <w:sz w:val="24"/>
          <w:szCs w:val="20"/>
          <w:highlight w:val="none"/>
          <w:u w:val="single"/>
        </w:rPr>
        <w:t xml:space="preserve">（本招标文件中斜体且有下划线部分为实质性要求和条件）</w:t>
      </w:r>
      <w:r>
        <w:rPr>
          <w:rFonts w:hint="eastAsia" w:ascii="宋体" w:hAnsi="宋体" w:eastAsia="宋体" w:cs="宋体"/>
          <w:i/>
          <w:iCs/>
          <w:color w:val="auto"/>
          <w:sz w:val="24"/>
          <w:szCs w:val="20"/>
          <w:highlight w:val="none"/>
          <w:u w:val="none"/>
        </w:rPr>
        <w:t xml:space="preserve">。</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26.1.9投标文件含有采购人不能接受的附加条件的。</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26.1.10投标人不能证明其报价合理性的，评</w:t>
      </w:r>
      <w:r>
        <w:rPr>
          <w:rFonts w:hint="eastAsia" w:ascii="宋体" w:hAnsi="宋体" w:eastAsia="宋体" w:cs="宋体"/>
          <w:color w:val="auto"/>
          <w:sz w:val="24"/>
          <w:szCs w:val="20"/>
          <w:highlight w:val="none"/>
          <w:lang w:val="en-US" w:eastAsia="zh-CN"/>
        </w:rPr>
        <w:t xml:space="preserve">标</w:t>
      </w:r>
      <w:r>
        <w:rPr>
          <w:rFonts w:hint="eastAsia" w:ascii="宋体" w:hAnsi="宋体" w:eastAsia="宋体" w:cs="宋体"/>
          <w:color w:val="auto"/>
          <w:sz w:val="24"/>
          <w:szCs w:val="20"/>
          <w:highlight w:val="none"/>
        </w:rPr>
        <w:t xml:space="preserve">委员会应当将其作为无效投标处理。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（一）评审过程中出现下列情形之一的，评标委员会应当启动异常低价投标审查程序：</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1.投标报价低于采购项目预算50%的，即投标报价&lt;采购项目预算×50%；</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2.投标报价低于采购项目最高限价45%的，即投标报价&lt;采购项目最高限价×45%；</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3.评标委员会认定的供应商报价过低、有可能影响产品质量或者不能诚信履约的其他情形。</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26.1.11投标文件未按照招标文件要求加盖CA电子公章的。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26.1.12其他法律、法规及本招标文件规定的属无效投标的情形。</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26.2废标条款</w:t>
      </w:r>
      <w:r/>
    </w:p>
    <w:p>
      <w:pPr>
        <w:ind w:firstLine="480"/>
        <w:jc w:val="left"/>
        <w:spacing w:line="560" w:lineRule="exact"/>
        <w:shd w:val="clear" w:color="auto"/>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26.2.1符合专业条件的供应商或者对招标文件作实质响应的供应商不足三家的。</w:t>
      </w:r>
      <w:r/>
    </w:p>
    <w:p>
      <w:pPr>
        <w:ind w:firstLine="480"/>
        <w:jc w:val="left"/>
        <w:spacing w:line="560" w:lineRule="exact"/>
        <w:shd w:val="clear" w:color="auto"/>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26.2.2出现影响采购公正的违法、违规行为的。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26.2.3因重大变故，采购任务取消的。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26.2.4评标委员会认定招标文件存在歧义、重大缺陷导致评审工作无法进行。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26.2.5因苏采云系统系统故障原因造成开标不成功的。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 投标截止时间结束后参加投标的供应商不足三家的处理：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58" w:name="_Toc120614219"/>
      <w:r>
        <w:rPr>
          <w:rFonts w:hint="eastAsia" w:ascii="宋体" w:hAnsi="宋体" w:eastAsia="宋体" w:cs="宋体"/>
          <w:b/>
          <w:bCs/>
          <w:color w:val="auto"/>
          <w:sz w:val="24"/>
          <w:szCs w:val="20"/>
          <w:highlight w:val="none"/>
        </w:rPr>
        <w:t xml:space="preserve">六、定标</w:t>
      </w:r>
      <w:bookmarkEnd w:id="158"/>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59" w:name="_Toc20823310"/>
      <w:r/>
      <w:bookmarkStart w:id="160" w:name="_Toc513029238"/>
      <w:r/>
      <w:bookmarkStart w:id="161" w:name="_Toc16938554"/>
      <w:r>
        <w:rPr>
          <w:rFonts w:hint="eastAsia" w:ascii="宋体" w:hAnsi="宋体" w:eastAsia="宋体" w:cs="宋体"/>
          <w:b/>
          <w:bCs/>
          <w:color w:val="auto"/>
          <w:sz w:val="24"/>
          <w:szCs w:val="20"/>
          <w:highlight w:val="none"/>
        </w:rPr>
        <w:t xml:space="preserve">27</w:t>
      </w:r>
      <w:bookmarkEnd w:id="159"/>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确定</w:t>
      </w:r>
      <w:bookmarkEnd w:id="160"/>
      <w:r/>
      <w:bookmarkEnd w:id="161"/>
      <w:r>
        <w:rPr>
          <w:rFonts w:hint="eastAsia" w:ascii="宋体" w:hAnsi="宋体" w:eastAsia="宋体" w:cs="宋体"/>
          <w:b/>
          <w:bCs/>
          <w:color w:val="auto"/>
          <w:sz w:val="24"/>
          <w:szCs w:val="20"/>
          <w:highlight w:val="none"/>
        </w:rPr>
        <w:t xml:space="preserve">中标单位</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27.1中标候选人的选取原则和数量见招标文件第五章规定。 </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27.2采购人应根据评委会推荐的中标候选人确定中标人。</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27.3</w:t>
      </w:r>
      <w:r>
        <w:rPr>
          <w:rFonts w:hint="eastAsia" w:ascii="宋体" w:hAnsi="宋体" w:eastAsia="宋体" w:cs="宋体"/>
          <w:color w:val="auto"/>
          <w:sz w:val="24"/>
          <w:szCs w:val="20"/>
          <w:highlight w:val="none"/>
          <w:lang w:val="zh-CN"/>
        </w:rPr>
        <w:t xml:space="preserve">采购中心将在</w:t>
      </w:r>
      <w:r>
        <w:rPr>
          <w:rFonts w:hint="eastAsia" w:ascii="宋体" w:hAnsi="宋体" w:eastAsia="宋体" w:cs="宋体"/>
          <w:color w:val="auto"/>
          <w:sz w:val="24"/>
          <w:szCs w:val="20"/>
          <w:highlight w:val="none"/>
        </w:rPr>
        <w:t xml:space="preserve">“中国政府采购网”、“江苏政府采购网”、“盐城市政府采购网”</w:t>
      </w:r>
      <w:r>
        <w:rPr>
          <w:rFonts w:hint="eastAsia" w:ascii="宋体" w:hAnsi="宋体" w:eastAsia="宋体" w:cs="宋体"/>
          <w:color w:val="auto"/>
          <w:sz w:val="24"/>
          <w:szCs w:val="20"/>
          <w:highlight w:val="none"/>
          <w:lang w:val="zh-CN"/>
        </w:rPr>
        <w:t xml:space="preserve">发布中标公告，公告期限为1个工作日。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27.4若有充分证据证明，中标人出现下列情况之一的，一经查实，将被取消中标资格：</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27.4.1提供虚假材料谋取中标的。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27.4.2向采购人、采购中心行贿或者提供其他不正当利益的。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27.4.3属于本文件规定的无效条件，但在评标过程中又未被评委会发现的。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27.4.4与采购人或者其他供应商恶意串通的。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27.4.5采取不正当手段诋毁、排挤其他供应商的。</w:t>
      </w:r>
      <w:r/>
    </w:p>
    <w:p>
      <w:pPr>
        <w:ind w:firstLine="480"/>
        <w:jc w:val="left"/>
        <w:spacing w:line="560" w:lineRule="exact"/>
        <w:shd w:val="clear" w:color="auto"/>
        <w:widowControl/>
        <w:rPr>
          <w:rFonts w:ascii="宋体" w:hAnsi="宋体" w:eastAsia="宋体" w:cs="宋体"/>
          <w:color w:val="auto"/>
          <w:sz w:val="24"/>
          <w:szCs w:val="20"/>
          <w:highlight w:val="none"/>
        </w:rPr>
      </w:pPr>
      <w:r/>
      <w:bookmarkStart w:id="162" w:name="_Toc200451960"/>
      <w:r>
        <w:rPr>
          <w:rFonts w:hint="eastAsia" w:ascii="宋体" w:hAnsi="宋体" w:eastAsia="宋体" w:cs="宋体"/>
          <w:color w:val="auto"/>
          <w:sz w:val="24"/>
          <w:szCs w:val="20"/>
          <w:highlight w:val="none"/>
        </w:rPr>
        <w:t xml:space="preserve">27.5 有下列情形之一的，视为投标人串通投标，投标无效：</w:t>
      </w:r>
      <w:bookmarkEnd w:id="162"/>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27.5.1不同投标人的投标文件由同一单位或者个人编制。</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27.5.2不同投标人委托同一单位或者个人办理投标事宜。</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27.5.3不同投标人的投标文件载明的项目管理成员或者联系人员为同一人。</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27.5.4不同投标人的投标文件异常一致或者投标报价呈规律性差异。</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质疑处理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w:t>
      </w:r>
      <w:r>
        <w:rPr>
          <w:rFonts w:hint="eastAsia" w:ascii="宋体" w:hAnsi="宋体" w:eastAsia="宋体" w:cs="宋体"/>
          <w:color w:val="auto"/>
          <w:sz w:val="24"/>
          <w:szCs w:val="20"/>
          <w:highlight w:val="none"/>
          <w:lang w:val="zh-CN"/>
        </w:rPr>
        <w:t xml:space="preserve">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28.2.1对可以质疑的采购文件提出质疑的，为收到采购文件之日或者采购文件公告期限届满之日；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28.2.2对采购过程提出质疑的，为各采购程序环节结束之日；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28.2.3对中标或者成交结果提出质疑的，为中标或者成交结果公告期限届满之日。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 以下情形的质疑不予受理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28.5.1内容不符合《政府采购质疑和投诉办法》第十二条规定的质疑。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28.5.2超出政府采购法定期限的质疑。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28.5.3以传真、电子邮件等方式递交的非原件形式的质疑。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28.5.4未参加投标活动的供应商或在投标活动中自身权益未受到损害的供应商所提出的质疑。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28.5.5供应商组成联合体参加投标，联合体中任何一方或多方未按要求签字、盖章、加盖公章的质疑。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29</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中标通知书</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63" w:name="_Toc20823308"/>
      <w:r/>
      <w:bookmarkStart w:id="164" w:name="_Toc120614220"/>
      <w:r/>
      <w:bookmarkStart w:id="165" w:name="_Toc16938552"/>
      <w:r/>
      <w:bookmarkStart w:id="166" w:name="_Toc513029236"/>
      <w:r>
        <w:rPr>
          <w:rFonts w:hint="eastAsia" w:ascii="宋体" w:hAnsi="宋体" w:eastAsia="宋体" w:cs="宋体"/>
          <w:b/>
          <w:bCs/>
          <w:color w:val="auto"/>
          <w:sz w:val="24"/>
          <w:szCs w:val="20"/>
          <w:highlight w:val="none"/>
        </w:rPr>
        <w:t xml:space="preserve">七、授予合同</w:t>
      </w:r>
      <w:bookmarkEnd w:id="163"/>
      <w:r/>
      <w:bookmarkEnd w:id="164"/>
      <w:r/>
      <w:bookmarkEnd w:id="165"/>
      <w:r/>
      <w:bookmarkEnd w:id="166"/>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67" w:name="_Toc513029237"/>
      <w:r/>
      <w:bookmarkStart w:id="168" w:name="_Toc16938553"/>
      <w:r/>
      <w:bookmarkStart w:id="169" w:name="_Toc20823309"/>
      <w:r>
        <w:rPr>
          <w:rFonts w:hint="eastAsia" w:ascii="宋体" w:hAnsi="宋体" w:eastAsia="宋体" w:cs="宋体"/>
          <w:b/>
          <w:bCs/>
          <w:color w:val="auto"/>
          <w:sz w:val="24"/>
          <w:szCs w:val="20"/>
          <w:highlight w:val="none"/>
        </w:rPr>
        <w:t xml:space="preserve">30.签订合同</w:t>
      </w:r>
      <w:bookmarkEnd w:id="167"/>
      <w:r/>
      <w:bookmarkEnd w:id="168"/>
      <w:r/>
      <w:bookmarkEnd w:id="169"/>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30.l中标人应当在中标通知书发出之日起三十日内，按照招标文件确定的事项与采购人签订政府采购合同。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30.2招标文件、中标人的投标文件及招标过程中有关澄清、承诺文件均应作为合同附件。</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30.3签订合同后，</w:t>
      </w:r>
      <w:r>
        <w:rPr>
          <w:rFonts w:hint="eastAsia" w:ascii="宋体" w:hAnsi="宋体" w:eastAsia="宋体" w:cs="宋体"/>
          <w:i/>
          <w:iCs/>
          <w:color w:val="auto"/>
          <w:sz w:val="24"/>
          <w:szCs w:val="20"/>
          <w:highlight w:val="none"/>
          <w:u w:val="single"/>
        </w:rPr>
        <w:t xml:space="preserve">中标人不得将合同标的进行转包</w:t>
      </w:r>
      <w:r>
        <w:rPr>
          <w:rFonts w:hint="eastAsia" w:ascii="宋体" w:hAnsi="宋体" w:eastAsia="宋体" w:cs="宋体"/>
          <w:color w:val="auto"/>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31</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服务（包含与服务相关的货物）的追加</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32.政府采购政策功能落实</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32.1政府采购线上合同信用融资政策</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32.2进口产品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32.3中小企业、监狱企业及残疾人福利性单位</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32.3.1中小企业定义：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中小企业是</w:t>
      </w:r>
      <w:r>
        <w:rPr>
          <w:rFonts w:hint="eastAsia" w:ascii="宋体" w:hAnsi="宋体" w:eastAsia="宋体" w:cs="宋体"/>
          <w:color w:val="auto"/>
          <w:sz w:val="24"/>
          <w:szCs w:val="20"/>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32.3.2供应商提供的货物、工程或者服务符合下列情形的，享受中小企业扶持政策：</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32.3.2.1在货物采购项目中，货物由中小企业制造，即货物由中小企业生产且使用该中小企业商号或者注册商标；</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32.3.2.2在工程采购项目中，工程由中小企业承建，即工程施工单位为中小企业；</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32.3.3在货物采购项目中，供应商提供的货物既有中小企业制造货物，也有大型企业制造货物的，不享受中小企业扶持政策。</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32.3.6残疾人福利单位定义：享受政府采购支持政策的残疾人福利性单位应当同时满足以下条件：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32.3.6.1安置的残疾人占本单位在职职工人数的比例不低于25%（含25%），并且安置的残疾人人数不少于10 人（含10 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32.3.6.2依法与安置的每位残疾人签订了一年以上（含一年）的劳动合同或服务协议；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32.3.6.3为安置的每位残疾人按月足额缴纳了基本养老保险、基本医疗保险、失业保险、工伤保险和生育保险等社会保险费；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32.3.7本项目是否专门面向中小企业预留采购份额见第一章《招标公告》。</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32.3.8采购标的对应的中小企业划分标准所属行业见第四章《采购需求》。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32.3.9小微企业价格评审优惠的政策：见第五章《评标方法和评标标准》。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32.4政府采购节能产品、环境标志产品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zh-CN"/>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zh-CN"/>
        </w:rPr>
        <w:t xml:space="preserve">其他条件相同情况下，应当优先采购节能产品、环境标志产品。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32.5绿色包装</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32.6政府采购创新产品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采购人优先采购各级政府部门公开发布的有效期内的创新产品、创新服务、首台套、首购首用等《目录》的创新产品。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32.7绿色数据中心政策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32.8履约保证金政策</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确需收取履约保证金的，履约保证金的缴纳形式：</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 如以履约保函（保险）形式缴纳履约保证金，供应商可通过政府采购电子履约保函（保险）平台（www.jsdzbh.com）在线申请履约保函（保险）。</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color w:val="auto"/>
          <w:sz w:val="24"/>
          <w:szCs w:val="20"/>
          <w:highlight w:val="none"/>
          <w:lang w:val="zh-CN" w:eastAsia="zh-CN" w:bidi="ar-SA"/>
        </w:rPr>
        <w:t xml:space="preserve">免收履约保证金</w:t>
      </w:r>
      <w:r>
        <w:rPr>
          <w:rFonts w:hint="eastAsia" w:ascii="宋体" w:hAnsi="宋体" w:eastAsia="宋体" w:cs="宋体"/>
          <w:color w:val="auto"/>
          <w:sz w:val="24"/>
          <w:szCs w:val="20"/>
          <w:highlight w:val="none"/>
          <w:lang w:val="zh-CN"/>
        </w:rPr>
        <w:t xml:space="preserve">。</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33. 预付款制度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本项目落实预付款制度，预付款比例为</w:t>
      </w:r>
      <w:r>
        <w:rPr>
          <w:rFonts w:hint="eastAsia" w:ascii="宋体" w:hAnsi="宋体" w:eastAsia="宋体" w:cs="宋体"/>
          <w:color w:val="auto"/>
          <w:sz w:val="24"/>
          <w:szCs w:val="20"/>
          <w:highlight w:val="none"/>
          <w:u w:val="single"/>
          <w:lang w:val="zh-CN"/>
        </w:rPr>
        <w:t xml:space="preserve">30</w:t>
      </w:r>
      <w:r>
        <w:rPr>
          <w:rFonts w:hint="eastAsia" w:ascii="宋体" w:hAnsi="宋体" w:eastAsia="宋体" w:cs="宋体"/>
          <w:color w:val="auto"/>
          <w:sz w:val="24"/>
          <w:szCs w:val="20"/>
          <w:highlight w:val="none"/>
          <w:lang w:val="zh-CN"/>
        </w:rPr>
        <w:t xml:space="preserve">%。在签订合同时，中标、成交供应商明确书面表示无需预付款或者主动要求降低预付款比例的，采购人可就预付款比例作相应调整。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left"/>
        <w:rPr>
          <w:rFonts w:hint="eastAsia" w:asciiTheme="minorHAnsi" w:hAnsiTheme="minorHAnsi" w:eastAsiaTheme="minorEastAsia" w:cstheme="minorBidi"/>
          <w:sz w:val="21"/>
          <w:szCs w:val="24"/>
          <w:highlight w:val="none"/>
          <w:lang w:val="en-US" w:eastAsia="zh-CN" w:bidi="ar-SA"/>
        </w:rPr>
      </w:pPr>
      <w:r>
        <w:rPr>
          <w:rFonts w:hint="eastAsia" w:asciiTheme="minorHAnsi" w:hAnsiTheme="minorHAnsi" w:eastAsiaTheme="minorEastAsia" w:cstheme="minorBidi"/>
          <w:sz w:val="21"/>
          <w:szCs w:val="24"/>
          <w:highlight w:val="none"/>
          <w:lang w:val="en-US" w:eastAsia="zh-CN" w:bidi="ar-SA"/>
        </w:rPr>
      </w:r>
      <w:r/>
    </w:p>
    <w:p>
      <w:pPr>
        <w:jc w:val="center"/>
        <w:shd w:val="clear" w:color="auto"/>
        <w:rPr>
          <w:rFonts w:hint="eastAsia" w:ascii="黑体" w:hAnsi="宋体" w:eastAsia="黑体" w:cs="黑体"/>
          <w:color w:val="auto"/>
          <w:sz w:val="44"/>
          <w:szCs w:val="44"/>
          <w:highlight w:val="none"/>
          <w:lang w:eastAsia="zh-CN"/>
        </w:rPr>
      </w:pPr>
      <w:r>
        <w:rPr>
          <w:rFonts w:hint="eastAsia" w:ascii="黑体" w:hAnsi="宋体" w:eastAsia="黑体" w:cs="黑体"/>
          <w:color w:val="auto"/>
          <w:sz w:val="44"/>
          <w:szCs w:val="44"/>
          <w:highlight w:val="none"/>
        </w:rPr>
        <w:t xml:space="preserve">第三章 合同</w:t>
      </w:r>
      <w:r>
        <w:rPr>
          <w:rFonts w:hint="eastAsia" w:ascii="黑体" w:hAnsi="宋体" w:eastAsia="黑体" w:cs="黑体"/>
          <w:color w:val="auto"/>
          <w:sz w:val="44"/>
          <w:szCs w:val="44"/>
          <w:highlight w:val="none"/>
          <w:lang w:val="en-US" w:eastAsia="zh-CN"/>
        </w:rPr>
        <w:t xml:space="preserve">文本</w:t>
      </w:r>
      <w:r/>
    </w:p>
    <w:p>
      <w:pPr>
        <w:ind w:firstLine="480"/>
        <w:jc w:val="left"/>
        <w:spacing w:line="50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以下为中标后签定本项目合同的通用条款，中标供应商不得提出实质性的修改，关于专用条款将由采购人与中标供应商结合本项目具体情况协商后签订。</w:t>
      </w:r>
      <w:r/>
    </w:p>
    <w:p>
      <w:pPr>
        <w:pStyle w:val="724"/>
        <w:ind w:right="0"/>
        <w:jc w:val="center"/>
        <w:keepLines w:val="0"/>
        <w:keepNext w:val="0"/>
        <w:pageBreakBefore w:val="0"/>
        <w:spacing w:after="0" w:line="500" w:lineRule="exact"/>
        <w:shd w:val="clear" w:color="auto"/>
        <w:widowControl/>
        <w:rPr>
          <w:rFonts w:hint="eastAsia" w:ascii="宋体" w:hAnsi="宋体" w:eastAsia="宋体" w:cs="宋体"/>
          <w:sz w:val="24"/>
          <w:szCs w:val="24"/>
          <w:highlight w:val="none"/>
          <w:lang w:eastAsia="zh-CN"/>
        </w:rPr>
        <w:outlineLvl w:val="0"/>
      </w:pPr>
      <w:r>
        <w:rPr>
          <w:rFonts w:hint="eastAsia" w:ascii="宋体" w:hAnsi="宋体" w:eastAsia="宋体" w:cs="宋体"/>
          <w:b/>
          <w:bCs/>
          <w:spacing w:val="-5"/>
          <w:sz w:val="28"/>
          <w:szCs w:val="28"/>
          <w:highlight w:val="none"/>
        </w:rPr>
        <w:t xml:space="preserve">盐城市</w:t>
      </w:r>
      <w:r>
        <w:rPr>
          <w:rFonts w:hint="eastAsia" w:ascii="宋体" w:hAnsi="宋体" w:eastAsia="宋体" w:cs="宋体"/>
          <w:b/>
          <w:bCs/>
          <w:spacing w:val="-6"/>
          <w:sz w:val="28"/>
          <w:szCs w:val="28"/>
          <w:highlight w:val="none"/>
        </w:rPr>
        <w:t xml:space="preserve">政府采购合同</w:t>
      </w:r>
      <w:r>
        <w:rPr>
          <w:rFonts w:hint="eastAsia" w:ascii="宋体" w:hAnsi="宋体" w:cs="宋体"/>
          <w:b/>
          <w:bCs/>
          <w:spacing w:val="-6"/>
          <w:sz w:val="28"/>
          <w:szCs w:val="28"/>
          <w:highlight w:val="none"/>
          <w:lang w:eastAsia="zh-CN"/>
        </w:rPr>
        <w:t xml:space="preserve">（</w:t>
      </w:r>
      <w:r>
        <w:rPr>
          <w:rFonts w:hint="eastAsia" w:ascii="宋体" w:hAnsi="宋体" w:cs="宋体"/>
          <w:b/>
          <w:bCs/>
          <w:spacing w:val="-6"/>
          <w:sz w:val="28"/>
          <w:szCs w:val="28"/>
          <w:highlight w:val="none"/>
          <w:lang w:val="en-US" w:eastAsia="zh-CN"/>
        </w:rPr>
        <w:t xml:space="preserve">服务</w:t>
      </w:r>
      <w:r>
        <w:rPr>
          <w:rFonts w:hint="eastAsia" w:ascii="宋体" w:hAnsi="宋体" w:cs="宋体"/>
          <w:b/>
          <w:bCs/>
          <w:spacing w:val="-6"/>
          <w:sz w:val="28"/>
          <w:szCs w:val="28"/>
          <w:highlight w:val="none"/>
          <w:lang w:eastAsia="zh-CN"/>
        </w:rPr>
        <w:t xml:space="preserve">）</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项目编号：</w:t>
      </w:r>
      <w:r>
        <w:rPr>
          <w:rFonts w:hint="eastAsia" w:ascii="宋体" w:hAnsi="宋体" w:cs="宋体"/>
          <w:color w:val="auto"/>
          <w:sz w:val="24"/>
          <w:szCs w:val="20"/>
          <w:highlight w:val="none"/>
          <w:u w:val="single"/>
          <w:lang w:val="zh-CN" w:eastAsia="zh-CN" w:bidi="ar-SA"/>
        </w:rPr>
        <w:t xml:space="preserve">JSZC-320900-JZCG-G2025-0056 </w:t>
      </w:r>
      <w:r>
        <w:rPr>
          <w:rFonts w:hint="eastAsia" w:ascii="宋体" w:hAnsi="宋体" w:eastAsia="宋体" w:cs="宋体"/>
          <w:color w:val="auto"/>
          <w:sz w:val="24"/>
          <w:szCs w:val="20"/>
          <w:highlight w:val="none"/>
          <w:lang w:val="zh-CN" w:eastAsia="zh-CN" w:bidi="ar-SA"/>
        </w:rPr>
        <w:t xml:space="preserve">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项目名称：</w:t>
      </w:r>
      <w:r>
        <w:rPr>
          <w:rFonts w:hint="eastAsia" w:ascii="宋体" w:hAnsi="宋体" w:cs="宋体"/>
          <w:color w:val="auto"/>
          <w:sz w:val="24"/>
          <w:szCs w:val="20"/>
          <w:highlight w:val="none"/>
          <w:u w:val="single"/>
          <w:lang w:val="zh-CN" w:eastAsia="zh-CN" w:bidi="ar-SA"/>
        </w:rPr>
        <w:t xml:space="preserve">2025年盐城市第一中学物业管理服务项目</w:t>
      </w:r>
      <w:r>
        <w:rPr>
          <w:rFonts w:hint="eastAsia" w:ascii="宋体" w:hAnsi="宋体" w:eastAsia="宋体" w:cs="宋体"/>
          <w:color w:val="auto"/>
          <w:sz w:val="24"/>
          <w:szCs w:val="20"/>
          <w:highlight w:val="none"/>
          <w:lang w:val="zh-CN" w:eastAsia="zh-CN" w:bidi="ar-SA"/>
        </w:rPr>
        <w:t xml:space="preserve">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cs="宋体"/>
          <w:color w:val="auto"/>
          <w:sz w:val="24"/>
          <w:szCs w:val="20"/>
          <w:highlight w:val="none"/>
          <w:u w:val="single"/>
          <w:lang w:val="zh-CN" w:eastAsia="zh-CN" w:bidi="ar-SA"/>
        </w:rPr>
        <w:t xml:space="preserve">盐城市第一中学</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乙方：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zh-CN" w:eastAsia="zh-CN" w:bidi="ar-SA"/>
        </w:rPr>
        <w:t xml:space="preserve">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根据国家、地方有关物业管理法律、法规和政策及</w:t>
      </w:r>
      <w:r>
        <w:rPr>
          <w:rFonts w:hint="eastAsia" w:ascii="宋体" w:hAnsi="宋体" w:cs="宋体"/>
          <w:color w:val="auto"/>
          <w:sz w:val="24"/>
          <w:szCs w:val="20"/>
          <w:highlight w:val="none"/>
          <w:u w:val="single"/>
          <w:lang w:val="zh-CN" w:eastAsia="zh-CN" w:bidi="ar-SA"/>
        </w:rPr>
        <w:t xml:space="preserve">2025年盐城市第一中学物业管理服务项目</w:t>
      </w:r>
      <w:r>
        <w:rPr>
          <w:rFonts w:hint="eastAsia" w:ascii="宋体" w:hAnsi="宋体" w:eastAsia="宋体" w:cs="宋体"/>
          <w:color w:val="auto"/>
          <w:sz w:val="24"/>
          <w:szCs w:val="20"/>
          <w:highlight w:val="none"/>
          <w:lang w:val="zh-CN" w:eastAsia="zh-CN" w:bidi="ar-SA"/>
        </w:rPr>
        <w:t xml:space="preserve">公开招标的结果，在平等、自愿、协商一致的基础上，就甲方委托乙方对</w:t>
      </w:r>
      <w:r>
        <w:rPr>
          <w:rFonts w:hint="eastAsia" w:ascii="宋体" w:hAnsi="宋体" w:cs="宋体"/>
          <w:color w:val="auto"/>
          <w:sz w:val="24"/>
          <w:szCs w:val="20"/>
          <w:highlight w:val="none"/>
          <w:lang w:val="zh-CN" w:eastAsia="zh-CN" w:bidi="ar-SA"/>
        </w:rPr>
        <w:t xml:space="preserve">盐城市第一中学</w:t>
      </w:r>
      <w:r>
        <w:rPr>
          <w:rFonts w:hint="eastAsia" w:ascii="宋体" w:hAnsi="宋体" w:eastAsia="宋体" w:cs="宋体"/>
          <w:color w:val="auto"/>
          <w:sz w:val="24"/>
          <w:szCs w:val="20"/>
          <w:highlight w:val="none"/>
          <w:lang w:val="zh-CN" w:eastAsia="zh-CN" w:bidi="ar-SA"/>
        </w:rPr>
        <w:t xml:space="preserve">实行专业化物业管理，签署本合同，以便共同遵守执行。</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第一条 物业基本情况</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1.物业名称：</w:t>
      </w:r>
      <w:r>
        <w:rPr>
          <w:rFonts w:hint="eastAsia" w:ascii="宋体" w:hAnsi="宋体" w:cs="宋体"/>
          <w:color w:val="auto"/>
          <w:sz w:val="24"/>
          <w:szCs w:val="20"/>
          <w:highlight w:val="none"/>
          <w:lang w:val="zh-CN" w:eastAsia="zh-CN" w:bidi="ar-SA"/>
        </w:rPr>
        <w:t xml:space="preserve">2025年盐城市第一中学物业管理服务项目</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2.座落位置：盐城市青年东路69号。</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3.建筑面积：具体以甲方提供的测绘面积为准。</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第二条 委托管理事项</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（一）秩序维护</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负责盐城市第一中学</w:t>
      </w:r>
      <w:r>
        <w:rPr>
          <w:rFonts w:hint="eastAsia" w:ascii="宋体" w:hAnsi="宋体" w:eastAsia="宋体" w:cs="宋体"/>
          <w:color w:val="auto"/>
          <w:sz w:val="24"/>
          <w:szCs w:val="20"/>
          <w:highlight w:val="none"/>
          <w:lang w:val="en-US" w:eastAsia="zh-CN"/>
        </w:rPr>
        <w:t xml:space="preserve">西环路校区和蓝海路校区</w:t>
      </w:r>
      <w:r>
        <w:rPr>
          <w:rFonts w:hint="eastAsia" w:ascii="宋体" w:hAnsi="宋体" w:eastAsia="宋体" w:cs="宋体"/>
          <w:color w:val="auto"/>
          <w:sz w:val="24"/>
          <w:szCs w:val="20"/>
          <w:highlight w:val="none"/>
          <w:lang w:val="zh-CN" w:eastAsia="zh-CN"/>
        </w:rPr>
        <w:t xml:space="preserve">大门的传达、值班、校内巡查、消防安保监控等安全保卫工作，南门值班室实行24小时管理，保安要对南、西大门外100米范围内进行车辆、卫生的管理和维护，确保上述地域内的人身财物交通等的安全，以及工作正常有序运转。</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（二）卫生保洁</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物业托管范围内日常保洁服务，包括公共环境（含公共场地、厕所、房屋建筑物共用部位）的清洁卫生、垃圾的收集、清运，教学楼及办公场所盆栽植物的维护，楼内所有公共区域（含地下车库）,会议室、接待室、走廊、楼梯；室外道路、广场、停车场、绿化带，每节课对教学楼洗手间维护一次，确保每一节课后洗手间清洁无异味，负责水池内的卫生，做到及时清理水中杂物，确保水质清洁，楼前池底清洁。</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（三）其他</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1.按照物业管理条例规定，收集、保管好有关物业管理的政策、法规、章程等资料以及本物业相关的图纸、数据等资料。建立、保管好物业管理档案，做好档案交接工作、每天召开例会制度等。</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2.甲方委托乙方管理的消防维保、宿舍管理等其他事项。</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3.法规和政策规定由物业管理公司管理的其他事项。</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4.甲方限制在规定时间内外出的人员，如因乙方管理原因造成走失及人身伤亡事故，乙方承担由此引起的一切经济赔偿及法律等方面的责任，甲方有权终止合同。</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5.如有外进人员聚众滋事、造成人员伤亡等，由此引起的一切经济赔偿及法律等方面的责任由乙方承担，甲方有权终止合同。</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6.法规和政策规定由物业管理公司管理的其他事项。</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第三条 合同期限</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服务管理时间：1年。</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本合同有效期为自</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年</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月</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日至</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年</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月</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日止。</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第四条 甲方的权利和义务</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1.与乙方议定年度管理计划、年度费用概预算、决算报告；审定乙方制定的物业管理方案。</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2.对乙方的管理实施监督检查，检查监督乙方管理工作的执行情况；每季度全面进行一次考核评定，甲方有权随时对乙方的工作情况进行考核。</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3.甲方不允许乙方将本项目转包和分包给任何第三方，如发现乙方有转包和分包行为，甲方有权单方终止本合同。所交履约保证金作为违约金不予退还。</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4.法规政策规定由甲方承担的其他责任。</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第五条 乙方的权利和义务</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1.乙方必须按公司化运作，必须遵守国家的法律法规并负责本公司人员的管理。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2.乙方应遵守《</w:t>
      </w:r>
      <w:r>
        <w:rPr>
          <w:rFonts w:hint="eastAsia" w:ascii="宋体" w:hAnsi="宋体" w:cs="宋体"/>
          <w:color w:val="auto"/>
          <w:sz w:val="24"/>
          <w:szCs w:val="20"/>
          <w:highlight w:val="none"/>
          <w:lang w:val="en-US" w:eastAsia="zh-CN" w:bidi="ar-SA"/>
        </w:rPr>
        <w:t xml:space="preserve">中华人民共和国</w:t>
      </w:r>
      <w:r>
        <w:rPr>
          <w:rFonts w:hint="eastAsia" w:ascii="宋体" w:hAnsi="宋体" w:eastAsia="宋体" w:cs="宋体"/>
          <w:color w:val="auto"/>
          <w:sz w:val="24"/>
          <w:szCs w:val="20"/>
          <w:highlight w:val="none"/>
          <w:lang w:val="zh-CN" w:eastAsia="zh-CN" w:bidi="ar-SA"/>
        </w:rPr>
        <w:t xml:space="preserve">劳动法》及相关法律法规的规定，若有违反，责任由乙方自行承担。</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3.乙方必须按照甲方要求的定员数足额上岗作业，并按时发放工资、福利、为保洁人员按照规定办理相关保险。</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4.乙方在合同期限内录用的人员，合同到期后由乙方负责一切相关事宜。</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协助做好本物业管理区域内的安全防范工作，发生安全事故时，在采取应急措施的同时，及时向有关部门报告，保护好现场、协助做好救助工作；保安人员在维护本物业管理区域的公共秩序时，要履行职责，不得侵害公民的合法权益；</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6.非经甲方许可并办理有关手续，不得擅自改变物业管理区域内共用部分、共用设施设备的用途；对本物业的公用设施不得擅自占用和改变使用功能；</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7.因维修、养护共用部位、共用设施设备需要而暂时停水、停电或停止共用设施设备的使用的（除排危抢险情形以外），乙方应事先征得甲方同意后实施；</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合同期内，乙方的主要负责人、各部门主管要保持相对稳定。本项目的专职项目负责人不得在公司或其他物业项目兼职。法定工作日内项目负责人必须正常上班，项目负责人离开工作岗位必须书面向甲方请假并经甲方同意。保安不得随意调整或更换，需调整或更换必须经过甲方同意后方可进行。</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9.保安员、消控室安全员、水电工等，必须持证上岗，且具有国家规定的相关证书（保安员证、电工证、建（构）筑物消防员证等）。</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第六条 管理目标</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总体要求：乙方根据甲方的委托管理事项制定出本物业“管理分项标准”(各项管理服务的工作标准和考核办法),与甲方协商同意后作为本合同的必备附件。</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第七条 履约保证金、管理服务费用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乙方交纳人民币_______元作为本合同的履约保证金。</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（注：合同金额的10%，采购人应当对AA评级及以上政府采购供应商（需提供信用管理部门备案的第三方信用报告）</w:t>
      </w:r>
      <w:r>
        <w:rPr>
          <w:rFonts w:hint="eastAsia" w:ascii="宋体" w:hAnsi="宋体" w:eastAsia="宋体" w:cs="宋体"/>
          <w:b/>
          <w:bCs/>
          <w:color w:val="auto"/>
          <w:sz w:val="24"/>
          <w:szCs w:val="20"/>
          <w:highlight w:val="none"/>
          <w:lang w:val="zh-CN" w:eastAsia="zh-CN" w:bidi="ar-SA"/>
        </w:rPr>
        <w:t xml:space="preserve">免收履约保证金。</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确需收取履约保证金的，履约保证金的缴纳形式：</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2.2 如以履约保函（保险）形式缴纳履约保证金，供应商可通过政府采购电子履约保函（保险）平台（www.jsdzbh.com）在线申请履约保函（保险）。</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.3合同履行结束后，甲方应及时退还交纳的履约保证金。</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履约保证金的退还：</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3.1</w:t>
      </w:r>
      <w:r>
        <w:rPr>
          <w:rFonts w:hint="eastAsia" w:ascii="宋体" w:hAnsi="宋体" w:eastAsia="宋体" w:cs="宋体"/>
          <w:color w:val="auto"/>
          <w:sz w:val="24"/>
          <w:szCs w:val="20"/>
          <w:highlight w:val="none"/>
          <w:lang w:val="zh-CN" w:eastAsia="zh-CN" w:bidi="ar-SA"/>
        </w:rPr>
        <w:t xml:space="preserve">方式：无息退还至投标人缴纳履约保证金的账户。如为保函，在到期时自行失效。</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.2时间：验收合格且采购人收到发票后30日内。</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.3条件：按合同要求全部履约完成并经采购人验收合格，且采购人收到中标人出具的发票。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.4不予退还情形：</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除不可抗力情况外，投标人出现下列情形之一的，其履约保证金，招标人将视情节决定不予退还或部分不予退还。</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（1）中标人无正当理由拒绝签订合同的，或者在签订合同时向采购人提出附加条件或者更改合同实质性内容要求的；</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（2）中标人不履行与采购人订立的合同的；</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（3）中标人所供货物或服务不符合招标文件规定要求的；</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（4）中标人采取欺骗、弄虚作假方式投标的或与其它投标人串通投标的；</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（5）中标人将合同内容转包、违法分包的；</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（6）中标人故意捏造事实或伪造证明材料，进行虚假恶意投诉或反映的。</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24"/>
        <w:numPr>
          <w:ilvl w:val="0"/>
          <w:numId w:val="0"/>
        </w:numPr>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lang w:val="zh-CN" w:eastAsia="zh-CN" w:bidi="ar-SA"/>
        </w:rPr>
        <w:t xml:space="preserve">本合同履约期间1年物业服务费为，人民币(大写):</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，小写：</w:t>
      </w:r>
      <w:r>
        <w:rPr>
          <w:rFonts w:hint="eastAsia" w:ascii="宋体" w:hAnsi="宋体" w:eastAsia="宋体" w:cs="宋体"/>
          <w:color w:val="auto"/>
          <w:sz w:val="24"/>
          <w:szCs w:val="20"/>
          <w:highlight w:val="none"/>
          <w:lang w:val="en-US" w:eastAsia="zh-CN" w:bidi="ar-SA"/>
        </w:rPr>
        <w:t xml:space="preserve"> </w:t>
      </w:r>
      <w:r/>
    </w:p>
    <w:p>
      <w:pPr>
        <w:pStyle w:val="724"/>
        <w:numPr>
          <w:ilvl w:val="0"/>
          <w:numId w:val="0"/>
        </w:numPr>
        <w:ind w:right="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元。</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.支付方式：</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.1</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预付款支付时间：合同签订</w:t>
      </w:r>
      <w:r>
        <w:rPr>
          <w:rFonts w:hint="eastAsia" w:ascii="宋体" w:hAnsi="宋体" w:cs="宋体"/>
          <w:color w:val="auto"/>
          <w:sz w:val="24"/>
          <w:szCs w:val="20"/>
          <w:highlight w:val="none"/>
          <w:lang w:val="en-US" w:eastAsia="zh-CN" w:bidi="ar-SA"/>
        </w:rPr>
        <w:t xml:space="preserve">后</w:t>
      </w:r>
      <w:r>
        <w:rPr>
          <w:rFonts w:hint="eastAsia" w:ascii="宋体" w:hAnsi="宋体" w:eastAsia="宋体" w:cs="宋体"/>
          <w:color w:val="auto"/>
          <w:sz w:val="24"/>
          <w:szCs w:val="20"/>
          <w:highlight w:val="none"/>
          <w:lang w:val="zh-CN" w:eastAsia="zh-CN" w:bidi="ar-SA"/>
        </w:rPr>
        <w:t xml:space="preserve">并收到乙方发票后10个工作日内支付合同金额的30%（乙方需提供等额税票。在签订合同时，乙方明确表示无需预付款的，可不执行。）。</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.2</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尾款支付时间：试用期（3个月）期满，考核合格后，付试用期期间的管理费用。如果未能按合同、招标文件履约的，试用期结束后，履约保证金不予退还，并不支付试用期间的物业服务费用。试用期满后，物业管理服务费的支付采用季度考核，按季度支付，即甲方于每季度的首月20日前对上季度的物业管理服务工作进行考核，经考核合格的，且在物业公司付清派到本学校的员工上季度薪金后支付当季度的物业管理服务费。甲方收到乙方发票后10个工作日内支付服务费。</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6.本物业的管理服务费至少包括以下内容：</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6.1管理服务人员工资、社会保险和按规定计提福利费用（此项含基本工资、社会保险、按规定计提公积金、福利）；</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6.2</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物业共用部位、共有设施设备日常运维费用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6.3</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物业公共区域清洁卫生费用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1）清洁机械费用；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2）清洁器具、耗材（垃圾袋、清洁剂、卫生球、洗衣粉、扫帚、抹布、卫生纸等）；</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3）公区消杀费用；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4）公区垃圾清运费用。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6.4</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物业管理公共区域秩序维护费用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1）用于保洁的日常易耗品、工具、清洁剂、消毒剂由乙方购置并承担费用。所有人员的工作服装和相关装备等由投标人购置并承担费用。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2）由于各类活动、突击迎检、节假日期间等因素导致的费用，不论这些因素是可预测或不可预测的，均已包含在全年总价报价中。</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3）报价中不包含电梯、消防等专业维保费用及检测费用、需更换材料的费用，以及所有设备设施维修服务过程中的材料消耗费用。报价中也不包含房屋及装潢的维修费用。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4）所有聘用人员必须足额缴纳保险费用，保险费用应满足执行盐城相关政策最低标准。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5）税金：按国家规定计取。</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注：物业服务合同期限内，如遇招标人重大活动，物业服务单位提供增值服务，可通过提请甲方“一事一议”方式予以费用支出。</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第八条 合同的构成</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1、本合同书；</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2、本招标文件；</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3、中标人投标文件；</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w:t>
      </w:r>
      <w:r>
        <w:rPr>
          <w:rFonts w:hint="eastAsia" w:ascii="宋体" w:hAnsi="宋体" w:cs="宋体"/>
          <w:color w:val="auto"/>
          <w:sz w:val="24"/>
          <w:szCs w:val="20"/>
          <w:highlight w:val="none"/>
          <w:lang w:val="zh-CN" w:eastAsia="zh-CN" w:bidi="ar-SA"/>
        </w:rPr>
        <w:t xml:space="preserve">盐城市第一中学</w:t>
      </w:r>
      <w:r>
        <w:rPr>
          <w:rFonts w:hint="eastAsia" w:ascii="宋体" w:hAnsi="宋体" w:eastAsia="宋体" w:cs="宋体"/>
          <w:color w:val="auto"/>
          <w:sz w:val="24"/>
          <w:szCs w:val="20"/>
          <w:highlight w:val="none"/>
          <w:lang w:val="zh-CN" w:eastAsia="zh-CN" w:bidi="ar-SA"/>
        </w:rPr>
        <w:t xml:space="preserve">物业管理服务考核办法；</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5、国家相关法律法规。</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第九条 物业服务主要要求</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1、物业服务主要要求详见采购需求。</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2、物业服务合同终止时，乙方应当将物业管理用房和所有物管资料、档案完整的移交给业主。</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3、物业服务合同终止时，业主选聘了新的物业管理企业的，物业管理企业之间应当做好交接工作。</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4、乙方可以将物业管理区域内的专项服务业务委托给专业性服务企业，但不得将该区域内的全部物业管理一并委托给他人。</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5、未尽事宜，按国家和地方最新《物业管理条例》执行，有冲突处，按高标准执行。</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第十条 违约责任</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1、如因乙方原因，造成不能完成管理目标或直接造成甲方经济损失的，乙方应给予甲方相应赔偿。甲方有权要求乙方限期整改，在整改后仍不能完成管理目标的，甲方有权终止合同。</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2、甲、乙双方如有采取不正当竞争手段而取得管理权或致使对方失去管理权，或造成对方经济损失的，应当承担全部责任。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3、乙方违反收费标准，甲方有权终止合同，并要求乙方退还多出的收费金额，并按多收费用的双倍支付甲方违约金。</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4、投标项目经理原则上中标后不得更换，如确需更换须提前一个月书面申请报甲方审核并经同意，更换后的项目经理年龄、资历、业绩等不得低于原项目经理。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5、如甲方发现乙方存在挂靠、转包、分包行为，甲方可立即单方终止合同，并扣除履约保证金。</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6、本合同期满或解除（终止）之日内，乙方须向甲方移交所有的资料，台账等，否则应向甲方支付违约金为全年物业费的5%。</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第十一条 其它事项</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1、甲方将每个月对乙方进行考核统计，考核的依据为“物业管理项目规范服务考核评分细则”。</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2、如因乙方管理不善导致甲方解除合同，则乙方将被列入黑名单。</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3、双方可对本合同的条款进行修订更改或补充，以书面签订补充协议，补充协议与本合同具有同等效力。</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4、合同规定的管理期满，本合同自然终止</w:t>
      </w:r>
      <w:r>
        <w:rPr>
          <w:rFonts w:hint="eastAsia" w:ascii="宋体" w:hAnsi="宋体" w:cs="宋体"/>
          <w:color w:val="auto"/>
          <w:sz w:val="24"/>
          <w:szCs w:val="20"/>
          <w:highlight w:val="none"/>
          <w:lang w:val="zh-CN" w:eastAsia="zh-CN" w:bidi="ar-SA"/>
        </w:rPr>
        <w:t xml:space="preserve">。</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5、本合同执行期间，如遇不可抗力，致使合同无法履行时，双方均不承担违约责任并按有关法规政策规定及时协商处理。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6、本合同在履行中如发生争议，双方应协商解决，协商不成时，提请物业管理主管部门调解，调解不成的，提交盐城市人民法院管辖。</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8、双方约定合同份数：壹式 肆 份，甲方 贰 份，乙方 贰 份。</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9、本合同自双方签订之日起生效。</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收费、公证费、鉴定费等。</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甲方（盖章）：                     乙方（盖章）：</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法定代表人                         法定代表人</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或授权委托人（签字）：         </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  或授权委托人（签字）：</w:t>
      </w:r>
      <w:r/>
    </w:p>
    <w:p>
      <w:pPr>
        <w:pStyle w:val="724"/>
        <w:ind w:right="0" w:firstLine="480"/>
        <w:jc w:val="right"/>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时间：  年  月  日</w:t>
      </w:r>
      <w:r/>
    </w:p>
    <w:p>
      <w:pPr>
        <w:ind w:firstLine="472"/>
        <w:spacing w:line="520" w:lineRule="exact"/>
        <w:widowControl/>
        <w:rPr>
          <w:rFonts w:hint="eastAsia" w:eastAsia="Arial"/>
          <w:sz w:val="24"/>
          <w:szCs w:val="20"/>
          <w:highlight w:val="none"/>
          <w:lang w:val="zh-CN"/>
        </w:rPr>
      </w:pPr>
      <w:r>
        <w:rPr>
          <w:rFonts w:hint="eastAsia" w:eastAsia="Arial"/>
          <w:sz w:val="24"/>
          <w:szCs w:val="20"/>
          <w:highlight w:val="none"/>
          <w:lang w:val="zh-CN"/>
        </w:rPr>
      </w:r>
      <w:r/>
    </w:p>
    <w:p>
      <w:pPr>
        <w:rPr>
          <w:rFonts w:hint="eastAsia"/>
          <w:b/>
          <w:bCs/>
          <w:sz w:val="24"/>
          <w:highlight w:val="none"/>
        </w:rPr>
      </w:pPr>
      <w:r/>
      <w:bookmarkStart w:id="170" w:name="_Toc25711"/>
      <w:r/>
      <w:bookmarkStart w:id="171" w:name="_Toc120614281"/>
      <w:r>
        <w:rPr>
          <w:rFonts w:hint="eastAsia"/>
          <w:b/>
          <w:bCs/>
          <w:sz w:val="24"/>
          <w:highlight w:val="none"/>
        </w:rPr>
        <w:br w:type="page" w:clear="all"/>
      </w:r>
      <w:bookmarkStart w:id="188" w:name="_GoBack"/>
      <w:r/>
      <w:bookmarkEnd w:id="188"/>
      <w:r/>
      <w:r/>
    </w:p>
    <w:p>
      <w:pPr>
        <w:spacing w:line="559" w:lineRule="exact"/>
        <w:widowControl/>
        <w:rPr>
          <w:rFonts w:hint="eastAsia"/>
          <w:b/>
          <w:bCs/>
          <w:sz w:val="28"/>
          <w:szCs w:val="28"/>
          <w:highlight w:val="none"/>
        </w:rPr>
        <w:outlineLvl w:val="0"/>
      </w:pPr>
      <w:r>
        <w:rPr>
          <w:rFonts w:hint="eastAsia" w:asciiTheme="minorEastAsia" w:hAnsiTheme="minorEastAsia" w:eastAsiaTheme="minorEastAsia" w:cstheme="minorEastAsia"/>
          <w:b/>
          <w:bCs/>
          <w:sz w:val="24"/>
          <w:highlight w:val="none"/>
        </w:rPr>
        <w:t xml:space="preserve">附件1：</w:t>
      </w:r>
      <w:bookmarkEnd w:id="170"/>
      <w:r>
        <w:rPr>
          <w:rFonts w:hint="eastAsia" w:asciiTheme="minorEastAsia" w:hAnsiTheme="minorEastAsia" w:eastAsiaTheme="minorEastAsia" w:cstheme="minorEastAsia"/>
          <w:b/>
          <w:bCs/>
          <w:sz w:val="24"/>
          <w:highlight w:val="none"/>
        </w:rPr>
        <w:t xml:space="preserve">  </w:t>
      </w:r>
      <w:r>
        <w:rPr>
          <w:rFonts w:hint="eastAsia"/>
          <w:b/>
          <w:bCs/>
          <w:sz w:val="24"/>
          <w:highlight w:val="none"/>
        </w:rPr>
        <w:t xml:space="preserve">        </w:t>
      </w:r>
      <w:r>
        <w:rPr>
          <w:rFonts w:hint="eastAsia"/>
          <w:b/>
          <w:bCs/>
          <w:sz w:val="28"/>
          <w:szCs w:val="28"/>
          <w:highlight w:val="none"/>
        </w:rPr>
        <w:t xml:space="preserve">   </w:t>
      </w:r>
      <w:r/>
    </w:p>
    <w:p>
      <w:pPr>
        <w:jc w:val="center"/>
        <w:spacing w:line="559" w:lineRule="exact"/>
        <w:widowControl/>
        <w:rPr>
          <w:rFonts w:hint="eastAsia"/>
          <w:b/>
          <w:bCs/>
          <w:sz w:val="24"/>
          <w:highlight w:val="none"/>
        </w:rPr>
        <w:outlineLvl w:val="0"/>
      </w:pPr>
      <w:r>
        <w:rPr>
          <w:rFonts w:hint="eastAsia"/>
          <w:b/>
          <w:bCs/>
          <w:sz w:val="28"/>
          <w:szCs w:val="28"/>
          <w:highlight w:val="none"/>
          <w:lang w:eastAsia="zh-CN"/>
        </w:rPr>
        <w:t xml:space="preserve">盐城市第一中学</w:t>
      </w:r>
      <w:r>
        <w:rPr>
          <w:rFonts w:hint="eastAsia"/>
          <w:b/>
          <w:bCs/>
          <w:sz w:val="28"/>
          <w:szCs w:val="28"/>
          <w:highlight w:val="none"/>
        </w:rPr>
        <w:t xml:space="preserve">物业服务考核细则</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为进一步加强对学校物业工作的管理，督促物业从业人员落实规定，更好地为师生提供优质、规范的服务，从而确保在校师生安全和校园秩序规范，现依据相关规定制定本考核细则：</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一、考核目的</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通过考核，进一步提高物业服务保障质量，确保</w:t>
      </w:r>
      <w:r>
        <w:rPr>
          <w:rFonts w:hint="eastAsia" w:ascii="宋体" w:hAnsi="宋体" w:cs="宋体"/>
          <w:color w:val="auto"/>
          <w:sz w:val="24"/>
          <w:szCs w:val="20"/>
          <w:highlight w:val="none"/>
          <w:lang w:val="zh-CN" w:eastAsia="zh-CN" w:bidi="ar-SA"/>
        </w:rPr>
        <w:t xml:space="preserve">盐城市第一中学</w:t>
      </w:r>
      <w:r>
        <w:rPr>
          <w:rFonts w:hint="eastAsia" w:ascii="宋体" w:hAnsi="宋体" w:eastAsia="宋体" w:cs="宋体"/>
          <w:color w:val="auto"/>
          <w:sz w:val="24"/>
          <w:szCs w:val="20"/>
          <w:highlight w:val="none"/>
          <w:lang w:val="zh-CN" w:eastAsia="zh-CN" w:bidi="ar-SA"/>
        </w:rPr>
        <w:t xml:space="preserve">（以下称甲方）安全有序运行。</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二、考核依据</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依据《</w:t>
      </w:r>
      <w:r>
        <w:rPr>
          <w:rFonts w:hint="eastAsia" w:ascii="宋体" w:hAnsi="宋体" w:cs="宋体"/>
          <w:color w:val="auto"/>
          <w:sz w:val="24"/>
          <w:szCs w:val="20"/>
          <w:highlight w:val="none"/>
          <w:lang w:val="zh-CN" w:eastAsia="zh-CN" w:bidi="ar-SA"/>
        </w:rPr>
        <w:t xml:space="preserve">盐城市第一中学</w:t>
      </w:r>
      <w:r>
        <w:rPr>
          <w:rFonts w:hint="eastAsia" w:ascii="宋体" w:hAnsi="宋体" w:eastAsia="宋体" w:cs="宋体"/>
          <w:color w:val="auto"/>
          <w:sz w:val="24"/>
          <w:szCs w:val="20"/>
          <w:highlight w:val="none"/>
          <w:lang w:val="zh-CN" w:eastAsia="zh-CN" w:bidi="ar-SA"/>
        </w:rPr>
        <w:t xml:space="preserve">物业管理服务合同》（含其附件及本考核细则）、甲方招标文件、乙方投标文件和乙方承诺以及国家有关物业管理规定。</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三、考核方法</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采用资料查核、现场验证、抽样检查、询问、满意度调查等方法对物业的服务质量进行量化管理。</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四、具体内容</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（一）制度建设</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（1）建立健全管理制度，制订突发性应急预案和处理办法，安全基础台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、应急预案规范，如制度不完善和台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、预案不规范，检查发现问题的一次扣2分。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（2）建立健全各项岗位管理制度。加强人员出入管理，严格执行出入管理制度，如检查发现问题的一次扣2分。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（3）建立健全人员使用政审和报告制度。有员工招聘审查、培训办法，有岗位职责、人员分工任务表等内部管理考核台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，资料健全；员工未发生任何损害公共利益、造成不良影响的事件。如未能做到，每项扣1分。</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（二）人员管理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（1）新进员工要进行政审，政审合格后报甲方备案方可录入使用，否则，发现一次扣2分。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（2）新进员工必须身体健康（提供健康证明）且经培训合格后上岗，不能提供健康证明或未培训合格上岗的，发现一次扣2分。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（3）经政审、培训合格上岗后的员工，无特殊情况，不得随意换人，如发现新进员工在岗未达到10天以上的，每次扣2分。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（4）员工离岗或请假需提前一天上报，未及时报告和备案的，发现一次扣2分。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员工上岗培训必须有案可查、资料完备，同时每季度至少开展1次岗位技能、职业素质、服务知识、客户文化、绿色节能环保等教育培训，并进行适当形式的考核。培训、考核不到位，资料不完备的，发现一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（6）员工未按规定统一着装，未佩戴统一标识，服装上有污渍、有破损，不注重仪表仪容，留长发、蓄胡子，不注意文明用语等，发现一次扣1分。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（7）员工在班期间玩手机（与工作无关内容）、看报纸，脱岗、串岗、睡岗，发现一次扣1分。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（8）员工不得与学校相关人员（教师、学生等）发生肢体或语言冲突，有问题及时上报管理部门，如发生冲突，发现一次扣5分。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（9）物管公司随意更换服务人员，或人员年龄及其他要求未达到甲方规定标准的，发现一次扣1分，10日内未整改到位的，扣3分，且我校可视情况决定是否终止合同。</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（三）治安保卫</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1. 安全管理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（1）如因物管公司工作不尽职，出现责任事故，除追究乙方单位和当事人责任外，另扣20分。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（2）安全服务工作不到位被提出批评的；接到师生及学生家长投诉经查实的，每项扣3分。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（3）人员、车辆出入管理应按学校规定执行，未严格登记、验证，管理工作不到位，影响严重的扣3分。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（4）未按规定办理登记手续的危险品严禁带入校园内，发现一次扣4分。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（5）员工利用工作之便监守自盗，或发现有内部偷盗行为未及时制止的，经查实，每项扣4分。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（6）加强校园内巡查，特别是夜间巡更点要有记录，如工作不尽职，查巡制度落实不到位，白天、夜间无人查岗的，有少查、漏查的，发现一次扣2分。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（7）大型车辆或大型物件进入学校要及时向管理部门报告，并及时派人全程跟踪，必要时拉上警戒线警示，否则，发现一次扣2分。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（8）有值班、巡查记录，有班前班后的准备和交接工作记录，有人员的考勤、检查纪录，发现记录不完整的，一次扣1分。不按时立岗的,每发现一次扣1分。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（9）传达室环境不整洁，卫生不达标，有脏乱差现象，发现一次扣2分。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（10）安保人员必须每人配备1部对讲机，每周坚持1-2小时的理论和业务培训（对讲机使用、巡更棒使用、交通安全、交通执勤等），如未按规定使用或使用中违反规定，造成后果的，发现一次扣1分。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（11）保安人员在值班室和值班时间吸烟，发现一次扣1分。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（12）保安人员不按规定时间、地点立岗、立岗姿势不规范、仪表、仪态不整，发现一次每项扣1分。</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2. 秩序管理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（1）保安人员在维持车辆秩序时，态度要大方、端正，做到有礼有节，始终贯彻“服务第一，满意为终”的思想，不得发生与师生吵架、斗殴的现象，否则，发现一次扣3分。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（2）在非机动车库、走道等停车占用消防通道的，发现一次扣2分。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（3）校内主要通道等要保持无长时间车辆停留，如超过10分钟未能清理离开的，一次扣1分。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（4）无通行证或未经批准的机动车进入学校的，每发现一次扣2分。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（5）发现车证不符未及时处理的，一次2分。</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（四）卫生保洁</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1. 保洁质量</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（1）楼宇各出入口地台无脏杂物、无污迹；楼内大厅整洁光亮、无浮尘、无水迹、无污迹。如未达标准，每项扣1分。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（2）各楼层走廊、过道、楼梯整洁、无浮尘、无水迹、无污迹。如未达标准，每项扣1分。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（3）各楼层公共区域内门窗、窗台干净、无灰尘、无污迹；垃圾桶放置合理，清倒及时、外表干净、无积垢、无异味。如未达标准，每项扣1分。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（4）楼内消防箱玻璃门，各种柱身、扶手、栏杆（含木质、金属、不锈钢）等无积尘、无污迹、无斑点。如未达标准，每项扣1分。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（5）各种室内装饰物、墙上装饰物和各类设施表面（如灯饰、监视器、火灾报警控制器、安全指标灯、开关盒、消防栓箱、各种告示牌、指示牌等）干净、无灰尘、无污迹。如未达标准，每项扣1分。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宋体" w:hAnsi="宋体" w:cs="宋体"/>
          <w:color w:val="auto"/>
          <w:sz w:val="24"/>
          <w:szCs w:val="20"/>
          <w:highlight w:val="none"/>
          <w:lang w:val="en-US" w:eastAsia="zh-CN" w:bidi="ar-SA"/>
        </w:rPr>
        <w:t xml:space="preserve">沉</w:t>
      </w:r>
      <w:r>
        <w:rPr>
          <w:rFonts w:hint="eastAsia" w:ascii="宋体" w:hAnsi="宋体" w:eastAsia="宋体" w:cs="宋体"/>
          <w:color w:val="auto"/>
          <w:sz w:val="24"/>
          <w:szCs w:val="20"/>
          <w:highlight w:val="none"/>
          <w:lang w:val="zh-CN" w:eastAsia="zh-CN" w:bidi="ar-SA"/>
        </w:rPr>
        <w:t xml:space="preserve">积物、无异味，外表干净无污水流出、无异味；地漏口畅通。如未达标准，每项扣1分。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室外场地、道路、绿化带清洁无脏物、无垃圾、无沙土；室外道路、雕塑、装饰物、灯箱、指示、公告（广告）牌，表面无积尘、无污迹。室内物品、装饰物、各类标识（牌）等表面无积尘，如未达标准，每项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（9）直饮机表面无脏污，地面无污水，网漏无脏物，开关、配电盒表面无积尘。如未达标准，每项扣1分。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（10）各种活动及会议后及时清理（清场），检查是否有遗留物品、未熄灭的火种等。所有场所在未使用时均保持整洁，卫生达标，能随时投入使用。如未能做到，每项扣1分。</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2. 操作规程</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（1）保洁作业操作程序规范，使用方法正确，未因操作或使用不当造成设施损伤。如未能做到，扣2分。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（2）保洁作业安全措施到位，未发生任何安全事件。如未做到，扣2分。</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（五）设备维护</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1、检查办公楼各设备运转是否正常，如有情况应及时上报并维修整改。未及时上报，发现一次扣1分。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2、配合管理人员检查照明、空调等正常运作。未及时发现不正常运转情况的，一次扣1分。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3、经常检查室内外灯是否正常，并及时报告、更换，未及时报告、更换的，一次扣1分。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4、每天配合学校电工检查配电房等设备运行情况、配合建立健全管理台账。发现一次台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不完整扣1分。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中午、晚上放学后巡查各班级教室、多功能教室、会议室等室内设备的运行情况，重点检查空调、多媒体屏幕、照明等设备。发现未关设备或需要维修的设备及时上报，没有及时关闭或维修而造成浪费的，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6、对突发性故障应以最快时间报告、修复，接到报修通知20分钟内不到现场的扣1分。</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（六）其他事项（由学校自行补充）</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1、协助消防维保单位做好消防巡查、定期扫码，发现未按要求巡查和扫码的一次扣1分。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2、做好清洁卫生，发现湖面杂物不及时清理，一次扣1分。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3、做好宿舍管理工作，宿管员对宿舍的楼道、通道、楼梯、周围环境每天定期打扫，如发现不打扫或者打扫不及时，一次扣1分。</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4、宿管员对学生宿舍早晚检查一次，发现问题及时汇报学校，如果发现没有检查，或者检查后没有汇报的，一次扣1分。</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五、考核实施和满意度测评</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乙方对甲方的治安保卫、秩序维护、卫生保洁、设备服务等服务工作的考核及师生满意度测评由甲方管理部门负责。</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（一）考核实施★</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根据《考核细则》对乙方进行综合量化考核，分为：日常考核、季度考核、专项考核。日常考核采用累积扣分制，并作为季度考核的参考，季度考核和专项考核采用综合打分制，季度考核每季组织1次，专项考核每学期组织1次。</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★考核得分换算方法：总得分=（1—6项得分之和）÷（1—6项总分值）×100</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考核结果运用：全年累计3次季度考核结果小于70分的或者1次专项考核结果小于70分的，且发生重大工作失误产生恶劣影响的，视乙方未按合同和招标文件约定履行，构成根本性违约，甲方有权终止合同并没收履约保证金。</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物业服务费用以1个季度为周期进行支付，甲方根据《考核细则》对乙方进行综合考核，并按考核结果支付对应服务费用：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 90分≤考评结果，实际付款金额=应付金额*100%；</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 85分≤考评结果＜90分，实际付款金额=应付金额*95%；</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 80分≤考评结果＜85分，实际付款金额=应付金额*90%；</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 75分≤考评结果＜80分，实际付款金额=应付金额*85%；</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 70分≤考评结果＜75分，实际付款金额=应付金额*80%；</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 考评结果＜70分（视为未达到甲方最基本的服务要求），甲方有权拒绝付款、终止合同并没收履约保证金。</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（二）满意度测评★</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甲方每月组织开展1次师生满意度测评，每学期结束时甲方组织专项满意度测评，全年累计3次月满意度测评满意度低于80%或者1次专项满意度测评满意度低于80%的，甲方有权终止合同并没收履约保证金。</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满意度测评从保洁安保（规范程度、精神状态、工作效率、礼节礼貌、车辆管理、监控值班等）等方面进行测评。（详见附件）</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本考核办法由甲方管理部门负责解释、补充和修改。于当年度物业服务主合同生效之日起施行。</w:t>
      </w:r>
      <w:r/>
    </w:p>
    <w:p>
      <w:pPr>
        <w:pStyle w:val="724"/>
        <w:ind w:right="0" w:firstLine="480"/>
        <w:jc w:val="both"/>
        <w:keepLines w:val="0"/>
        <w:keepNext w:val="0"/>
        <w:pageBreakBefore w:val="0"/>
        <w:spacing w:after="0" w:line="560" w:lineRule="exact"/>
        <w:shd w:val="clear" w:color="auto"/>
        <w:widowControl/>
        <w:rPr>
          <w:rFonts w:hint="eastAsia"/>
          <w:sz w:val="24"/>
          <w:highlight w:val="none"/>
        </w:rPr>
      </w:pPr>
      <w:r>
        <w:rPr>
          <w:rFonts w:hint="eastAsia" w:ascii="宋体" w:hAnsi="宋体" w:eastAsia="宋体" w:cs="宋体"/>
          <w:color w:val="auto"/>
          <w:sz w:val="24"/>
          <w:szCs w:val="20"/>
          <w:highlight w:val="none"/>
          <w:lang w:val="zh-CN" w:eastAsia="zh-CN" w:bidi="ar-SA"/>
        </w:rPr>
        <w:br w:type="page" w:clear="all"/>
      </w:r>
      <w:r/>
    </w:p>
    <w:p>
      <w:pPr>
        <w:rPr>
          <w:rFonts w:hint="eastAsia" w:asciiTheme="minorEastAsia" w:hAnsiTheme="minorEastAsia" w:eastAsiaTheme="minorEastAsia" w:cstheme="minorEastAsia"/>
          <w:b/>
          <w:bCs/>
          <w:highlight w:val="none"/>
        </w:rPr>
        <w:outlineLvl w:val="0"/>
      </w:pPr>
      <w:r/>
      <w:bookmarkStart w:id="172" w:name="_Toc22624"/>
      <w:r>
        <w:rPr>
          <w:rFonts w:hint="eastAsia" w:asciiTheme="minorEastAsia" w:hAnsiTheme="minorEastAsia" w:eastAsiaTheme="minorEastAsia" w:cstheme="minorEastAsia"/>
          <w:b/>
          <w:bCs/>
          <w:highlight w:val="none"/>
        </w:rPr>
        <w:t xml:space="preserve">附件2</w:t>
      </w:r>
      <w:bookmarkEnd w:id="172"/>
      <w:r/>
      <w:r/>
    </w:p>
    <w:p>
      <w:pPr>
        <w:ind w:firstLine="480"/>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cstheme="minorEastAsia"/>
          <w:b/>
          <w:bCs/>
          <w:sz w:val="28"/>
          <w:szCs w:val="28"/>
          <w:highlight w:val="none"/>
          <w:lang w:eastAsia="zh-CN"/>
        </w:rPr>
        <w:t xml:space="preserve">盐城市第一中学</w:t>
      </w:r>
      <w:r>
        <w:rPr>
          <w:rFonts w:hint="eastAsia" w:asciiTheme="minorEastAsia" w:hAnsiTheme="minorEastAsia" w:eastAsiaTheme="minorEastAsia" w:cstheme="minorEastAsia"/>
          <w:b/>
          <w:bCs/>
          <w:sz w:val="28"/>
          <w:szCs w:val="28"/>
          <w:highlight w:val="none"/>
        </w:rPr>
        <w:t xml:space="preserve">物业考核评分表</w:t>
      </w:r>
      <w:r/>
    </w:p>
    <w:tbl>
      <w:tblPr>
        <w:tblStyle w:val="719"/>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2599"/>
        <w:gridCol w:w="1824"/>
        <w:gridCol w:w="2076"/>
        <w:gridCol w:w="785"/>
      </w:tblGrid>
      <w:tr>
        <w:trPr>
          <w:jc w:val="center"/>
          <w:trHeight w:val="510"/>
          <w:tblHeader/>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内容</w:t>
            </w:r>
            <w:r/>
          </w:p>
        </w:tc>
        <w:tc>
          <w:tcPr>
            <w:gridSpan w:val="3"/>
            <w:tcW w:w="6499" w:type="dxa"/>
            <w:vAlign w:val="center"/>
            <w:textDirection w:val="lrTb"/>
            <w:noWrap w:val="false"/>
          </w:tcPr>
          <w:p>
            <w:pPr>
              <w:ind w:firstLine="48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分项指标</w:t>
            </w:r>
            <w:r/>
          </w:p>
        </w:tc>
        <w:tc>
          <w:tcPr>
            <w:tcW w:w="785"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分值</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1、制度建设（5分）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1.建立健全管理制度，制订突发性应急预案和处理办法，安全基础台账、应急预案规范。（2分）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2.建立健全各项岗位管理制度。加强人员出入管理，严格执行出入管理制度。（2分）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3.建立健全人员使用政审和报告制度（员工招聘审查、培训办法，有岗位职责、人员分工任务表等）。（每项1分）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2、人员管理（20分）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1.新进员工要进行政审，政审合格后报甲方备案方可录入使用。（2分）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2.新进员工必须身体健康（提供健康证明）且经培训合格后上岗。（2分）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3.经政审、培训合格上岗后的员工，无特殊情况，不得随意换人。（2分）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4.员工离岗或请假需提前一天上报。（2分）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5.员工上岗培训必须有案可查，资料完备。（2分）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6.员工按规定统一着装，佩戴统一标识，服装干净、整洁，注重仪容仪表，用语文明。（1分）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7.员工在班期间不做与工作无关的事情。（1分）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8.员工不得与学校相关人员（教师、学生等）发生肢体或语言冲突，有问题及时上报管理部门。（5分）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9.物管公司随意更换服务人员，或人员年龄及其他要求未达到甲方规定标准的，10日内未整改到位的，且我校可视情况决定是否终止合同。（3分）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3、治安保卫（1）安全管理（</w:t>
            </w:r>
            <w:r>
              <w:rPr>
                <w:rFonts w:hint="eastAsia" w:asciiTheme="minorEastAsia" w:hAnsiTheme="minorEastAsia" w:cstheme="minorEastAsia"/>
                <w:sz w:val="21"/>
                <w:szCs w:val="21"/>
                <w:highlight w:val="none"/>
                <w:lang w:val="en-US" w:eastAsia="zh-CN"/>
              </w:rPr>
              <w:t xml:space="preserve">41</w:t>
            </w:r>
            <w:r>
              <w:rPr>
                <w:rFonts w:hint="eastAsia" w:asciiTheme="minorEastAsia" w:hAnsiTheme="minorEastAsia" w:eastAsiaTheme="minorEastAsia" w:cstheme="minorEastAsia"/>
                <w:sz w:val="21"/>
                <w:szCs w:val="21"/>
                <w:highlight w:val="none"/>
              </w:rPr>
              <w:t xml:space="preserve">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1.如因物管公司工作不尽职，出现责任事故，除追究乙方单位和当事人责任外，另扣20分。（20分）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2.安全服务工作不到位被提出批评的。（3分）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3.人员、车辆出入管理应严格按学校规定执行。（3分）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4.未按规定办理登记手续的危险品严禁带入校园内。（4分）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5.员工利用工作之便监守自盗，或发现有内部偷盗行为未及时制止的。（4分）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454"/>
        </w:trPr>
        <w:tc>
          <w:tcPr>
            <w:tcW w:w="1439" w:type="dxa"/>
            <w:vAlign w:val="center"/>
            <w:vMerge w:val="continue"/>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6.加强校园内巡查，特别是夜间巡更点要有记录。（2分）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7.大型车辆或大型物件进入学校要及时向管理部门报告，并及时派人全程跟踪，必要时拉上警戒线警示。（2分）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8.有值班、巡查记录，有班前班后的准备和交接工作记录，有人员的考勤、检查</w:t>
            </w:r>
            <w:r>
              <w:rPr>
                <w:rFonts w:hint="eastAsia" w:asciiTheme="minorEastAsia" w:hAnsiTheme="minorEastAsia" w:cstheme="minorEastAsia"/>
                <w:sz w:val="21"/>
                <w:szCs w:val="21"/>
                <w:highlight w:val="none"/>
                <w:lang w:val="en-US" w:eastAsia="zh-CN"/>
              </w:rPr>
              <w:t xml:space="preserve">记</w:t>
            </w:r>
            <w:r>
              <w:rPr>
                <w:rFonts w:hint="eastAsia" w:asciiTheme="minorEastAsia" w:hAnsiTheme="minorEastAsia" w:eastAsiaTheme="minorEastAsia" w:cstheme="minorEastAsia"/>
                <w:sz w:val="21"/>
                <w:szCs w:val="21"/>
                <w:highlight w:val="none"/>
              </w:rPr>
              <w:t xml:space="preserve">录。（2分）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454"/>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9.传达室环境不整洁，卫生不达标，有脏乱差现象。（2分）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10.安保人员必须每人配备1部对讲机，每周坚持1-2小时的理论和业务培训（对讲机使用、巡更棒使用、交通安全、交通执勤等）。（1分）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11.保安人员在值班室和值班时间吸烟。（1分）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12.保安人员不按规定时间、地点立岗、立岗姿势不规范、仪表、仪态不整。（1分）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（2）秩序</w:t>
            </w:r>
            <w:r/>
          </w:p>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管理（10分）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1.保安人员在维持车辆秩序时，态度要大方、端正，做到有礼有节，始终贯彻“服务第一，满意为终” 的思想，不得发生与师生吵架、斗殴的现象。（3分）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2.在非机动车库、走道等停车占用消防通道的。（2分）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3.校内主要通道等要保持无长时间车辆停留，如超过10分钟未能清理离开的。（1分）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454"/>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4.无通行证或未经批准的机动车进入学校的。（2分）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454"/>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5.发现车证不符未及时处理的。（2分）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4、卫生保洁</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（1）保洁质量（10分）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1.楼宇各出入口地台无脏杂物、无污迹；楼内大厅整洁光亮、无浮尘、无水迹、无污迹。（每项1分）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2.各楼层走廊、过道、楼梯整洁、无浮尘、无水迹、无污迹。如未达标准。（每项1分）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3.各楼层公共区域内门窗、窗台干净、无灰尘、无污迹；垃圾桶放置合理，清倒及时、外表干净、无积垢、无异味。（每项1分）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4.楼内消防箱玻璃门，各种柱身、扶手、栏杆（含木质、金属、不锈钢）等无积尘、无污迹、无斑点。（每项1分）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5.各种室内装饰物、墙上装饰物和各类设施表面（如灯饰、监视器、火灾报警控制器、安全指标灯、开关盒、消防栓箱、各种告示牌、指示牌等）干净、无灰尘、无污迹。（每项1分）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Theme="minorEastAsia" w:hAnsiTheme="minorEastAsia" w:cstheme="minorEastAsia"/>
                <w:sz w:val="21"/>
                <w:szCs w:val="21"/>
                <w:highlight w:val="none"/>
                <w:lang w:val="en-US" w:eastAsia="zh-CN"/>
              </w:rPr>
              <w:t xml:space="preserve">沉</w:t>
            </w:r>
            <w:r>
              <w:rPr>
                <w:rFonts w:hint="eastAsia" w:asciiTheme="minorEastAsia" w:hAnsiTheme="minorEastAsia" w:eastAsiaTheme="minorEastAsia" w:cstheme="minorEastAsia"/>
                <w:sz w:val="21"/>
                <w:szCs w:val="21"/>
                <w:highlight w:val="none"/>
              </w:rPr>
              <w:t xml:space="preserve">积物、无异味，外表干净无污水流出、无异味；地漏口畅通。（每项1分）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7.电梯门厅墙面、地面、门框等表面干净，无油迹、无灰尘、无杂物；电梯厢壁、地面、天花板、通风口、照明灯具、指示板等表面干净、无积尘、无污迹、无脏杂物；电梯厢壁按规定上保护剂。（每项1分）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8.室外场地、道路、绿化带清洁无脏物、无垃圾、无沙土；室外道路、雕塑、装饰物、灯箱、指示、公告（广告）牌，表面无积尘、无污迹。室内物品、装饰物、各类标识（牌）等表面无积尘。（每项1分）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9.直饮机表面无脏污，地面无污水，网漏无脏物，开关、配电盒表面无积尘。（每项1分）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10.各种活动及会议后及时清理（清场），检查是否有遗留物品、未熄灭的火种等。所有场所在未使用时均保持整洁，卫生达标，能随时投入使用。（每项1分）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（2）操作规程（4分）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1.保洁作业操作程序规范，使用方法正确，未因操作或使用不当造成设施损伤。（2分）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2.保洁作业安全措施到位，未发生任何安全事件。（2分）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5、设备维护</w:t>
            </w:r>
            <w:r/>
          </w:p>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1、检查办公楼各设备运转是否正常，如有情况应及时上报并维修整改。（1分）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2、配合管理人员检查照明、空调等正常运作。（1分）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3、经常检查室内外灯是否正常，并及时报告、更换。（1分）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4、每天检查配电房等设备运行情况、建立健全管理台账。（1分）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5、中午、晚上放学后巡查各班级教室、多功能教室、会议室等室内设备的运行情况，重点检查空调、多媒体屏幕、照明等设备。发现未关设备或需要维修的设备及时上报。（1分）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6、对突发性故障应以最快时间报告、修复，接到报修通知20分钟内到现场。（1分）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913"/>
        </w:trPr>
        <w:tc>
          <w:tcPr>
            <w:tcW w:w="1439" w:type="dxa"/>
            <w:vAlign w:val="center"/>
            <w:textDirection w:val="lrTb"/>
            <w:noWrap w:val="false"/>
          </w:tcPr>
          <w:p>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6、其他事项</w:t>
            </w:r>
            <w:r>
              <w:rPr>
                <w:rFonts w:hint="eastAsia" w:asciiTheme="minorEastAsia" w:hAnsiTheme="minorEastAsia" w:cstheme="minorEastAsia"/>
                <w:sz w:val="21"/>
                <w:szCs w:val="21"/>
                <w:highlight w:val="none"/>
                <w:lang w:eastAsia="zh-CN"/>
              </w:rPr>
              <w:t xml:space="preserve">（</w:t>
            </w:r>
            <w:r>
              <w:rPr>
                <w:rFonts w:hint="eastAsia" w:asciiTheme="minorEastAsia" w:hAnsiTheme="minorEastAsia" w:cstheme="minorEastAsia"/>
                <w:sz w:val="21"/>
                <w:szCs w:val="21"/>
                <w:highlight w:val="none"/>
                <w:lang w:val="en-US" w:eastAsia="zh-CN"/>
              </w:rPr>
              <w:t xml:space="preserve">4分</w:t>
            </w:r>
            <w:r>
              <w:rPr>
                <w:rFonts w:hint="eastAsia" w:asciiTheme="minorEastAsia" w:hAnsiTheme="minorEastAsia" w:cstheme="minorEastAsia"/>
                <w:sz w:val="21"/>
                <w:szCs w:val="21"/>
                <w:highlight w:val="none"/>
                <w:lang w:eastAsia="zh-CN"/>
              </w:rPr>
              <w:t xml:space="preserve">）</w:t>
            </w:r>
            <w:r/>
          </w:p>
        </w:tc>
        <w:tc>
          <w:tcPr>
            <w:gridSpan w:val="3"/>
            <w:tcW w:w="6499" w:type="dxa"/>
            <w:vAlign w:val="center"/>
            <w:vMerge w:val="restart"/>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1、协助消防维保单位做好消防巡查、定期扫码。（1分）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2、做好清洁卫生，及时清理湖面杂物。（1分）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3、每天对宿舍楼道、通道、楼梯、宿舍周围环境进行打扫。（1分）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4、早晚对学生宿舍进行检查并及时汇报学校（1分）</w:t>
            </w:r>
            <w:r/>
          </w:p>
        </w:tc>
        <w:tc>
          <w:tcPr>
            <w:tcW w:w="785" w:type="dxa"/>
            <w:vAlign w:val="center"/>
            <w:vMerge w:val="restart"/>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（上限20分）</w:t>
            </w:r>
            <w:r/>
          </w:p>
        </w:tc>
        <w:tc>
          <w:tcPr>
            <w:gridSpan w:val="3"/>
            <w:tcW w:w="649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785"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510"/>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满意度测评★</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满意度测评从保洁安保（规范程度、精神状态、工作效率、礼节礼貌、车辆管理、监控值班等）等方面进行测评。</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考核人</w:t>
            </w:r>
            <w:r/>
          </w:p>
        </w:tc>
        <w:tc>
          <w:tcPr>
            <w:gridSpan w:val="4"/>
            <w:tcW w:w="728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510"/>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时间</w:t>
            </w:r>
            <w:r/>
          </w:p>
        </w:tc>
        <w:tc>
          <w:tcPr>
            <w:tcW w:w="259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总得分</w:t>
            </w:r>
            <w:r/>
          </w:p>
        </w:tc>
        <w:tc>
          <w:tcPr>
            <w:gridSpan w:val="2"/>
            <w:tcW w:w="2861"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753"/>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备注</w:t>
            </w:r>
            <w:r/>
          </w:p>
        </w:tc>
        <w:tc>
          <w:tcPr>
            <w:gridSpan w:val="4"/>
            <w:tcW w:w="728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总得分=（1—6项得分之和）÷（1—6项总分值）×100</w:t>
            </w:r>
            <w:r/>
          </w:p>
        </w:tc>
      </w:tr>
    </w:tbl>
    <w:p>
      <w:pPr>
        <w:ind w:firstLine="480"/>
        <w:rPr>
          <w:rFonts w:hint="eastAsia"/>
          <w:highlight w:val="none"/>
        </w:rPr>
      </w:pPr>
      <w:r>
        <w:rPr>
          <w:rFonts w:hint="eastAsia"/>
          <w:highlight w:val="none"/>
        </w:rPr>
      </w:r>
      <w:r/>
    </w:p>
    <w:p>
      <w:pPr>
        <w:ind w:firstLine="480"/>
        <w:rPr>
          <w:rFonts w:hint="eastAsia"/>
          <w:highlight w:val="none"/>
        </w:rPr>
      </w:pPr>
      <w:r>
        <w:rPr>
          <w:rFonts w:hint="eastAsia"/>
          <w:highlight w:val="none"/>
        </w:rPr>
      </w:r>
      <w:r/>
    </w:p>
    <w:p>
      <w:pPr>
        <w:rPr>
          <w:rFonts w:hint="eastAsia"/>
          <w:highlight w:val="none"/>
        </w:rPr>
      </w:pPr>
      <w:r>
        <w:rPr>
          <w:rFonts w:hint="eastAsia" w:eastAsia="宋体"/>
          <w:highlight w:val="none"/>
        </w:rPr>
        <w:br w:type="page" w:clear="all"/>
      </w:r>
      <w:r/>
    </w:p>
    <w:p>
      <w:pPr>
        <w:pStyle w:val="724"/>
        <w:ind w:right="0"/>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173" w:name="_Toc24831"/>
      <w:r>
        <w:rPr>
          <w:rFonts w:hint="eastAsia" w:ascii="宋体" w:hAnsi="宋体" w:eastAsia="宋体" w:cs="宋体"/>
          <w:b/>
          <w:bCs/>
          <w:color w:val="auto"/>
          <w:sz w:val="24"/>
          <w:szCs w:val="20"/>
          <w:highlight w:val="none"/>
          <w:lang w:val="zh-CN" w:eastAsia="zh-CN" w:bidi="ar-SA"/>
        </w:rPr>
        <w:t xml:space="preserve">附件3</w:t>
      </w:r>
      <w:bookmarkEnd w:id="173"/>
      <w:r/>
      <w:r/>
    </w:p>
    <w:p>
      <w:pPr>
        <w:pStyle w:val="724"/>
        <w:ind w:right="0" w:firstLine="562"/>
        <w:jc w:val="center"/>
        <w:keepLines w:val="0"/>
        <w:keepNext w:val="0"/>
        <w:pageBreakBefore w:val="0"/>
        <w:spacing w:after="0" w:line="560" w:lineRule="exact"/>
        <w:shd w:val="clear" w:color="auto"/>
        <w:widowControl/>
        <w:rPr>
          <w:rFonts w:hint="eastAsia" w:ascii="宋体" w:hAnsi="宋体" w:eastAsia="宋体" w:cs="宋体"/>
          <w:b/>
          <w:bCs/>
          <w:color w:val="auto"/>
          <w:sz w:val="28"/>
          <w:szCs w:val="21"/>
          <w:highlight w:val="none"/>
          <w:lang w:val="zh-CN" w:eastAsia="zh-CN" w:bidi="ar-SA"/>
        </w:rPr>
      </w:pPr>
      <w:r>
        <w:rPr>
          <w:rFonts w:hint="eastAsia" w:ascii="宋体" w:hAnsi="宋体" w:eastAsia="宋体" w:cs="宋体"/>
          <w:b/>
          <w:bCs/>
          <w:color w:val="auto"/>
          <w:sz w:val="28"/>
          <w:szCs w:val="21"/>
          <w:highlight w:val="none"/>
          <w:lang w:val="zh-CN" w:eastAsia="zh-CN" w:bidi="ar-SA"/>
        </w:rPr>
        <w:t xml:space="preserve">物业服务满意度测评表</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各位老师、各位同学：</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为了帮助学校改进物业管理工作，提高物业服务质量，现采用不记名方式进行问卷调查，请认真回答以下问题，回答完毕将此问卷交还现场调查人员。谢谢你的合作！</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174" w:name="_Toc4986"/>
      <w:r>
        <w:rPr>
          <w:rFonts w:hint="eastAsia" w:ascii="宋体" w:hAnsi="宋体" w:eastAsia="宋体" w:cs="宋体"/>
          <w:b/>
          <w:bCs/>
          <w:color w:val="auto"/>
          <w:sz w:val="24"/>
          <w:szCs w:val="20"/>
          <w:highlight w:val="none"/>
          <w:lang w:val="zh-CN" w:eastAsia="zh-CN" w:bidi="ar-SA"/>
        </w:rPr>
        <w:t xml:space="preserve">一、选择题</w:t>
      </w:r>
      <w:bookmarkEnd w:id="174"/>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 您的身份是？                              （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A.学生   B.教职工   C.其他（请注明）</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 您对目前物业安保服务的满意度如何？        （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 您对学校公共区域的卫生状况的满意度如何？  （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 您对学校卫生间的卫生情况的满意度如何？    （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 您对目前学校各种车辆停放秩序的满意度如何？（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 您对目前学校垃圾清运工作的满意度如何？    （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24"/>
        <w:ind w:right="0" w:firstLine="480"/>
        <w:jc w:val="left"/>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 您对目前学校物业人员的整体形象和服务态度的满意度如何？ （   ）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 您认为学校物业在哪些方面表现优秀？（多选）（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A.校园清洁   B.绿化养护   C.设施维护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D.安全管理   E.其他（请注明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 您认为学校物业在哪些方面需要改进？（多选）（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A.清洁频率   B.绿化质量   C.设施更新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D.安全管理   E.其他（请注明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 您对学校整体物业服务的满意度如何？     （   ）</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 </w:t>
      </w:r>
      <w:r/>
    </w:p>
    <w:p>
      <w:pPr>
        <w:pStyle w:val="724"/>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175" w:name="_Toc27120"/>
      <w:r>
        <w:rPr>
          <w:rFonts w:hint="eastAsia" w:ascii="宋体" w:hAnsi="宋体" w:eastAsia="宋体" w:cs="宋体"/>
          <w:b/>
          <w:bCs/>
          <w:color w:val="auto"/>
          <w:sz w:val="24"/>
          <w:szCs w:val="20"/>
          <w:highlight w:val="none"/>
          <w:lang w:val="zh-CN" w:eastAsia="zh-CN" w:bidi="ar-SA"/>
        </w:rPr>
        <w:t xml:space="preserve">二、问答题</w:t>
      </w:r>
      <w:bookmarkEnd w:id="175"/>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您对学校物业管理还有什么具体意见和建议？</w:t>
      </w:r>
      <w:r/>
    </w:p>
    <w:p>
      <w:pPr>
        <w:pStyle w:val="724"/>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r>
      <w:r/>
    </w:p>
    <w:p>
      <w:pPr>
        <w:rPr>
          <w:rFonts w:hint="eastAsia" w:ascii="黑体" w:hAnsi="宋体" w:eastAsia="黑体" w:cs="黑体"/>
          <w:color w:val="auto"/>
          <w:sz w:val="44"/>
          <w:szCs w:val="44"/>
          <w:highlight w:val="none"/>
          <w:lang w:val="en-US" w:eastAsia="zh-CN" w:bidi="ar-SA"/>
        </w:rPr>
      </w:pPr>
      <w:r>
        <w:rPr>
          <w:rFonts w:hint="eastAsia" w:ascii="黑体" w:hAnsi="宋体" w:eastAsia="黑体" w:cs="黑体"/>
          <w:color w:val="auto"/>
          <w:sz w:val="44"/>
          <w:szCs w:val="44"/>
          <w:highlight w:val="none"/>
          <w:lang w:val="en-US" w:eastAsia="zh-CN" w:bidi="ar-SA"/>
        </w:rPr>
        <w:br w:type="page" w:clear="all"/>
      </w:r>
      <w:r/>
    </w:p>
    <w:p>
      <w:pPr>
        <w:pStyle w:val="724"/>
        <w:ind w:right="0"/>
        <w:jc w:val="center"/>
        <w:keepLines w:val="0"/>
        <w:keepNext w:val="0"/>
        <w:pageBreakBefore w:val="0"/>
        <w:spacing w:after="0" w:line="560" w:lineRule="exact"/>
        <w:shd w:val="clear" w:color="auto"/>
        <w:widowControl/>
        <w:rPr>
          <w:rFonts w:hint="eastAsia" w:ascii="黑体" w:hAnsi="宋体" w:eastAsia="黑体" w:cs="黑体"/>
          <w:color w:val="auto"/>
          <w:sz w:val="44"/>
          <w:szCs w:val="44"/>
          <w:highlight w:val="none"/>
          <w:lang w:val="en-US" w:eastAsia="zh-CN" w:bidi="ar-SA"/>
        </w:rPr>
      </w:pPr>
      <w:r>
        <w:rPr>
          <w:rFonts w:hint="eastAsia" w:ascii="黑体" w:hAnsi="宋体" w:eastAsia="黑体" w:cs="黑体"/>
          <w:color w:val="auto"/>
          <w:sz w:val="44"/>
          <w:szCs w:val="44"/>
          <w:highlight w:val="none"/>
          <w:lang w:val="en-US" w:eastAsia="zh-CN" w:bidi="ar-SA"/>
        </w:rPr>
        <w:t xml:space="preserve">第四章  采购需求</w:t>
      </w:r>
      <w:r/>
    </w:p>
    <w:p>
      <w:pPr>
        <w:ind w:firstLine="480"/>
        <w:spacing w:line="480" w:lineRule="exact"/>
        <w:shd w:val="clear" w:color="auto"/>
        <w:rPr>
          <w:rFonts w:hint="eastAsia" w:ascii="宋体" w:hAnsi="宋体" w:eastAsia="Arial" w:cs="宋体"/>
          <w:b/>
          <w:bCs/>
          <w:color w:val="000000"/>
          <w:sz w:val="24"/>
          <w:szCs w:val="20"/>
          <w:highlight w:val="none"/>
          <w:lang w:val="zh-CN"/>
        </w:rPr>
      </w:pPr>
      <w:r>
        <w:rPr>
          <w:rFonts w:hint="eastAsia" w:ascii="宋体" w:hAnsi="宋体" w:eastAsia="Arial" w:cs="宋体"/>
          <w:b/>
          <w:bCs/>
          <w:color w:val="000000"/>
          <w:sz w:val="24"/>
          <w:szCs w:val="20"/>
          <w:highlight w:val="none"/>
          <w:lang w:val="zh-CN"/>
        </w:rPr>
        <w:t xml:space="preserve">项目属性:服务类项目。</w:t>
      </w:r>
      <w:r/>
    </w:p>
    <w:p>
      <w:pPr>
        <w:numPr>
          <w:ilvl w:val="0"/>
          <w:numId w:val="3"/>
        </w:numPr>
        <w:ind w:firstLine="466"/>
        <w:jc w:val="both"/>
        <w:spacing w:line="520" w:lineRule="exact"/>
        <w:rPr>
          <w:rFonts w:ascii="宋体" w:hAnsi="宋体" w:eastAsia="宋体" w:cs="宋体"/>
          <w:b/>
          <w:bCs/>
          <w:spacing w:val="-4"/>
          <w:sz w:val="24"/>
          <w:szCs w:val="24"/>
          <w:highlight w:val="none"/>
        </w:rPr>
      </w:pPr>
      <w:r>
        <w:rPr>
          <w:rFonts w:ascii="宋体" w:hAnsi="宋体" w:eastAsia="宋体" w:cs="宋体"/>
          <w:b/>
          <w:bCs/>
          <w:spacing w:val="-4"/>
          <w:sz w:val="24"/>
          <w:szCs w:val="24"/>
          <w:highlight w:val="none"/>
        </w:rPr>
        <w:t xml:space="preserve">项目概况</w:t>
      </w:r>
      <w:r/>
    </w:p>
    <w:p>
      <w:pPr>
        <w:numPr>
          <w:ilvl w:val="0"/>
          <w:numId w:val="0"/>
        </w:numPr>
        <w:ind w:firstLine="466"/>
        <w:jc w:val="both"/>
        <w:spacing w:line="520" w:lineRule="exact"/>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val="en-US" w:eastAsia="zh-CN"/>
        </w:rPr>
        <w:t xml:space="preserve">本项目为盐城市第一中学</w:t>
      </w:r>
      <w:bookmarkStart w:id="176" w:name="OLE_LINK4"/>
      <w:r>
        <w:rPr>
          <w:rFonts w:hint="eastAsia" w:ascii="宋体" w:hAnsi="宋体" w:eastAsia="宋体" w:cs="宋体"/>
          <w:b/>
          <w:bCs/>
          <w:spacing w:val="-4"/>
          <w:sz w:val="24"/>
          <w:szCs w:val="24"/>
          <w:highlight w:val="none"/>
        </w:rPr>
        <w:t xml:space="preserve">西环路校区</w:t>
      </w:r>
      <w:r>
        <w:rPr>
          <w:rFonts w:hint="eastAsia" w:ascii="宋体" w:hAnsi="宋体" w:eastAsia="宋体" w:cs="宋体"/>
          <w:b/>
          <w:bCs/>
          <w:spacing w:val="-4"/>
          <w:sz w:val="24"/>
          <w:szCs w:val="24"/>
          <w:highlight w:val="none"/>
          <w:lang w:val="en-US" w:eastAsia="zh-CN"/>
        </w:rPr>
        <w:t xml:space="preserve">和蓝海路校区</w:t>
      </w:r>
      <w:bookmarkEnd w:id="176"/>
      <w:r>
        <w:rPr>
          <w:rFonts w:hint="eastAsia" w:ascii="宋体" w:hAnsi="宋体" w:eastAsia="宋体" w:cs="宋体"/>
          <w:b/>
          <w:bCs/>
          <w:spacing w:val="-4"/>
          <w:sz w:val="24"/>
          <w:szCs w:val="24"/>
          <w:highlight w:val="none"/>
          <w:lang w:val="en-US" w:eastAsia="zh-CN"/>
        </w:rPr>
        <w:t xml:space="preserve">物业管理服务，</w:t>
      </w:r>
      <w:r>
        <w:rPr>
          <w:rFonts w:hint="eastAsia" w:ascii="宋体" w:hAnsi="宋体" w:eastAsia="宋体" w:cs="宋体"/>
          <w:b/>
          <w:bCs/>
          <w:spacing w:val="-4"/>
          <w:sz w:val="24"/>
          <w:szCs w:val="24"/>
          <w:highlight w:val="none"/>
        </w:rPr>
        <w:t xml:space="preserve">西环路校区现有在校师生约3700人，校园面积237亩，办公、教学楼7幢，实验楼1幢,宿舍楼4幢</w:t>
      </w:r>
      <w:r>
        <w:rPr>
          <w:rFonts w:hint="eastAsia" w:ascii="宋体" w:hAnsi="宋体" w:eastAsia="宋体" w:cs="宋体"/>
          <w:b/>
          <w:bCs/>
          <w:spacing w:val="-4"/>
          <w:sz w:val="24"/>
          <w:szCs w:val="24"/>
          <w:highlight w:val="none"/>
          <w:lang w:eastAsia="zh-CN"/>
        </w:rPr>
        <w:t xml:space="preserve">；</w:t>
      </w:r>
      <w:r>
        <w:rPr>
          <w:rFonts w:hint="eastAsia" w:ascii="宋体" w:hAnsi="宋体" w:eastAsia="宋体" w:cs="宋体"/>
          <w:b/>
          <w:bCs/>
          <w:spacing w:val="-4"/>
          <w:sz w:val="24"/>
          <w:szCs w:val="24"/>
          <w:highlight w:val="none"/>
        </w:rPr>
        <w:t xml:space="preserve">蓝海路校区现有在校师生约2050人，校园面积</w:t>
      </w:r>
      <w:bookmarkStart w:id="177" w:name="OLE_LINK5"/>
      <w:r>
        <w:rPr>
          <w:rFonts w:hint="eastAsia" w:ascii="宋体" w:hAnsi="宋体" w:eastAsia="宋体" w:cs="宋体"/>
          <w:b/>
          <w:bCs/>
          <w:spacing w:val="-4"/>
          <w:sz w:val="24"/>
          <w:szCs w:val="24"/>
          <w:highlight w:val="none"/>
        </w:rPr>
        <w:t xml:space="preserve">120亩</w:t>
      </w:r>
      <w:bookmarkEnd w:id="177"/>
      <w:r>
        <w:rPr>
          <w:rFonts w:hint="eastAsia" w:ascii="宋体" w:hAnsi="宋体" w:eastAsia="宋体" w:cs="宋体"/>
          <w:b/>
          <w:bCs/>
          <w:spacing w:val="-4"/>
          <w:sz w:val="24"/>
          <w:szCs w:val="24"/>
          <w:highlight w:val="none"/>
        </w:rPr>
        <w:t xml:space="preserve">，办公、教学楼4幢，宿舍楼3幢,体育馆1幢</w:t>
      </w:r>
      <w:r>
        <w:rPr>
          <w:rFonts w:hint="eastAsia" w:ascii="宋体" w:hAnsi="宋体" w:eastAsia="宋体" w:cs="宋体"/>
          <w:b/>
          <w:bCs/>
          <w:spacing w:val="-4"/>
          <w:sz w:val="24"/>
          <w:szCs w:val="24"/>
          <w:highlight w:val="none"/>
          <w:lang w:eastAsia="zh-CN"/>
        </w:rPr>
        <w:t xml:space="preserve">。根据学校实际情况合理配备</w:t>
      </w:r>
      <w:r>
        <w:rPr>
          <w:rFonts w:hint="eastAsia" w:ascii="宋体" w:hAnsi="宋体" w:eastAsia="宋体" w:cs="宋体"/>
          <w:b/>
          <w:bCs/>
          <w:spacing w:val="-4"/>
          <w:sz w:val="24"/>
          <w:szCs w:val="24"/>
          <w:highlight w:val="none"/>
          <w:lang w:val="en-US" w:eastAsia="zh-CN"/>
        </w:rPr>
        <w:t xml:space="preserve">需</w:t>
      </w:r>
      <w:r>
        <w:rPr>
          <w:rFonts w:hint="eastAsia" w:ascii="宋体" w:hAnsi="宋体" w:eastAsia="宋体" w:cs="宋体"/>
          <w:b/>
          <w:bCs/>
          <w:spacing w:val="-4"/>
          <w:sz w:val="24"/>
          <w:szCs w:val="24"/>
          <w:highlight w:val="none"/>
          <w:lang w:eastAsia="zh-CN"/>
        </w:rPr>
        <w:t xml:space="preserve">物业服务从业人员共32人(西环路校区:项目经理1人、保洁员11人，宿舍管理员4人、电工1人、保健员1人，蓝海路校区:项目经理1人、保洁员8人、宿舍管理员4人、电工1人)</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 1.物业情况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托管的物业服务范围：盐城市第一中学物业管理服务，包含盐城市第一中学物业服务：专职保安、校园保洁、宿舍管理、功能室管理以及学校安排的其他有关物业管理事项。详细情况请各投标人实地勘察。</w:t>
      </w:r>
      <w:r/>
    </w:p>
    <w:tbl>
      <w:tblPr>
        <w:tblStyle w:val="747"/>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44"/>
        <w:gridCol w:w="4975"/>
      </w:tblGrid>
      <w:tr>
        <w:trPr>
          <w:trHeight w:val="454"/>
        </w:trPr>
        <w:tc>
          <w:tcPr>
            <w:tcW w:w="4039"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物业名称</w:t>
            </w:r>
            <w:r/>
          </w:p>
        </w:tc>
        <w:tc>
          <w:tcPr>
            <w:tcW w:w="5232"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物业地址</w:t>
            </w:r>
            <w:r/>
          </w:p>
        </w:tc>
      </w:tr>
      <w:tr>
        <w:trPr>
          <w:trHeight w:val="454"/>
        </w:trPr>
        <w:tc>
          <w:tcPr>
            <w:tcW w:w="4039" w:type="dxa"/>
            <w:vAlign w:val="center"/>
            <w:textDirection w:val="lrTb"/>
            <w:noWrap w:val="false"/>
          </w:tcPr>
          <w:p>
            <w:pPr>
              <w:ind w:firstLine="0"/>
              <w:jc w:val="center"/>
              <w:spacing w:line="240" w:lineRule="auto"/>
              <w:rPr>
                <w:color w:val="auto"/>
                <w:sz w:val="24"/>
                <w:szCs w:val="24"/>
              </w:rPr>
            </w:pPr>
            <w:r>
              <w:rPr>
                <w:rFonts w:hint="eastAsia"/>
                <w:color w:val="auto"/>
                <w:sz w:val="24"/>
                <w:szCs w:val="24"/>
                <w:lang w:eastAsia="zh-CN"/>
              </w:rPr>
              <w:t xml:space="preserve">2025年盐城市第一中学物业管理服务项目</w:t>
            </w:r>
            <w:r/>
          </w:p>
        </w:tc>
        <w:tc>
          <w:tcPr>
            <w:tcW w:w="5232" w:type="dxa"/>
            <w:vAlign w:val="center"/>
            <w:textDirection w:val="lrTb"/>
            <w:noWrap w:val="false"/>
          </w:tcPr>
          <w:p>
            <w:pPr>
              <w:ind w:firstLine="0"/>
              <w:jc w:val="center"/>
              <w:spacing w:line="240" w:lineRule="auto"/>
              <w:rPr>
                <w:color w:val="auto"/>
                <w:sz w:val="24"/>
                <w:szCs w:val="24"/>
              </w:rPr>
            </w:pPr>
            <w:r>
              <w:rPr>
                <w:rFonts w:hint="eastAsia" w:ascii="宋体" w:hAnsi="宋体" w:eastAsia="宋体" w:cs="宋体"/>
                <w:b/>
                <w:bCs/>
                <w:spacing w:val="-4"/>
                <w:sz w:val="24"/>
                <w:szCs w:val="24"/>
                <w:highlight w:val="none"/>
              </w:rPr>
              <w:t xml:space="preserve">西环路校区</w:t>
            </w:r>
            <w:r>
              <w:rPr>
                <w:rFonts w:hint="eastAsia" w:ascii="宋体" w:hAnsi="宋体" w:eastAsia="宋体" w:cs="宋体"/>
                <w:b/>
                <w:bCs/>
                <w:spacing w:val="-4"/>
                <w:sz w:val="24"/>
                <w:szCs w:val="24"/>
                <w:highlight w:val="none"/>
                <w:lang w:eastAsia="zh-CN"/>
              </w:rPr>
              <w:t xml:space="preserve">（</w:t>
            </w:r>
            <w:r>
              <w:rPr>
                <w:rFonts w:hint="eastAsia" w:ascii="宋体" w:hAnsi="宋体" w:eastAsia="宋体" w:cs="宋体"/>
                <w:b/>
                <w:bCs/>
                <w:spacing w:val="-4"/>
                <w:sz w:val="24"/>
                <w:szCs w:val="24"/>
                <w:highlight w:val="none"/>
                <w:lang w:val="en-US" w:eastAsia="zh-CN"/>
              </w:rPr>
              <w:t xml:space="preserve">西环路6号</w:t>
            </w:r>
            <w:r>
              <w:rPr>
                <w:rFonts w:hint="eastAsia" w:ascii="宋体" w:hAnsi="宋体" w:eastAsia="宋体" w:cs="宋体"/>
                <w:b/>
                <w:bCs/>
                <w:spacing w:val="-4"/>
                <w:sz w:val="24"/>
                <w:szCs w:val="24"/>
                <w:highlight w:val="none"/>
                <w:lang w:eastAsia="zh-CN"/>
              </w:rPr>
              <w:t xml:space="preserve">）</w:t>
            </w:r>
            <w:r>
              <w:rPr>
                <w:rFonts w:hint="eastAsia" w:ascii="宋体" w:hAnsi="宋体" w:eastAsia="宋体" w:cs="宋体"/>
                <w:b/>
                <w:bCs/>
                <w:spacing w:val="-4"/>
                <w:sz w:val="24"/>
                <w:szCs w:val="24"/>
                <w:highlight w:val="none"/>
                <w:lang w:val="en-US" w:eastAsia="zh-CN"/>
              </w:rPr>
              <w:t xml:space="preserve">和蓝海路校区（蓝海路28号）</w:t>
            </w:r>
            <w:r/>
          </w:p>
        </w:tc>
      </w:tr>
    </w:tbl>
    <w:p>
      <w:pPr>
        <w:ind w:firstLine="482"/>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2.物业服务范围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以上内容体现需要供应商进行物业管理的物业的情况、边界、范围。指标的设 置要充分考虑可能影响供应商报价和项目实施风险的因素。</w:t>
      </w:r>
      <w:r/>
    </w:p>
    <w:p>
      <w:pPr>
        <w:ind w:firstLine="440"/>
        <w:spacing w:line="400" w:lineRule="exact"/>
        <w:rPr>
          <w:color w:val="auto"/>
          <w:sz w:val="24"/>
          <w:szCs w:val="24"/>
        </w:rPr>
      </w:pPr>
      <w:r>
        <w:rPr>
          <w:rFonts w:hint="eastAsia"/>
          <w:color w:val="auto"/>
          <w:sz w:val="24"/>
          <w:szCs w:val="24"/>
        </w:rPr>
        <w:t xml:space="preserve">2.1物业管理（建筑物）</w:t>
      </w:r>
      <w:r/>
    </w:p>
    <w:tbl>
      <w:tblPr>
        <w:tblStyle w:val="747"/>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0"/>
        <w:gridCol w:w="3947"/>
        <w:gridCol w:w="2318"/>
      </w:tblGrid>
      <w:tr>
        <w:trPr>
          <w:jc w:val="center"/>
          <w:trHeight w:val="454"/>
        </w:trPr>
        <w:tc>
          <w:tcPr>
            <w:tcW w:w="2540"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名称</w:t>
            </w:r>
            <w:r/>
          </w:p>
        </w:tc>
        <w:tc>
          <w:tcPr>
            <w:tcW w:w="3947"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明细</w:t>
            </w:r>
            <w:r/>
          </w:p>
        </w:tc>
        <w:tc>
          <w:tcPr>
            <w:tcW w:w="2318"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服务内容及标准</w:t>
            </w:r>
            <w:r/>
          </w:p>
        </w:tc>
      </w:tr>
      <w:tr>
        <w:trPr>
          <w:jc w:val="center"/>
          <w:trHeight w:val="454"/>
        </w:trPr>
        <w:tc>
          <w:tcPr>
            <w:tcW w:w="2540" w:type="dxa"/>
            <w:vAlign w:val="center"/>
            <w:textDirection w:val="lrTb"/>
            <w:noWrap w:val="false"/>
          </w:tcPr>
          <w:p>
            <w:pPr>
              <w:ind w:firstLine="0"/>
              <w:jc w:val="center"/>
              <w:spacing w:line="240" w:lineRule="auto"/>
              <w:rPr>
                <w:rFonts w:hint="eastAsia"/>
                <w:color w:val="auto"/>
                <w:sz w:val="24"/>
                <w:szCs w:val="24"/>
              </w:rPr>
            </w:pPr>
            <w:r>
              <w:rPr>
                <w:rFonts w:hint="eastAsia"/>
                <w:b/>
                <w:bCs/>
                <w:color w:val="auto"/>
                <w:sz w:val="24"/>
                <w:szCs w:val="24"/>
              </w:rPr>
              <w:t xml:space="preserve">西环路校区</w:t>
            </w:r>
            <w:r/>
          </w:p>
        </w:tc>
        <w:tc>
          <w:tcPr>
            <w:tcW w:w="3947" w:type="dxa"/>
            <w:vAlign w:val="center"/>
            <w:textDirection w:val="lrTb"/>
            <w:noWrap w:val="false"/>
          </w:tcPr>
          <w:p>
            <w:pPr>
              <w:ind w:firstLine="0"/>
              <w:jc w:val="center"/>
              <w:spacing w:line="240" w:lineRule="auto"/>
              <w:rPr>
                <w:rFonts w:hint="eastAsia"/>
                <w:color w:val="auto"/>
                <w:sz w:val="24"/>
                <w:szCs w:val="24"/>
              </w:rPr>
            </w:pPr>
            <w:r>
              <w:rPr>
                <w:rFonts w:hint="eastAsia"/>
                <w:color w:val="auto"/>
                <w:sz w:val="24"/>
                <w:szCs w:val="24"/>
              </w:rPr>
              <w:t xml:space="preserve">校师生约3700人</w:t>
            </w:r>
            <w:r>
              <w:rPr>
                <w:rFonts w:hint="eastAsia"/>
                <w:color w:val="auto"/>
                <w:sz w:val="24"/>
                <w:szCs w:val="24"/>
                <w:lang w:eastAsia="zh-CN"/>
              </w:rPr>
              <w:t xml:space="preserve">，</w:t>
            </w:r>
            <w:r>
              <w:rPr>
                <w:rFonts w:hint="eastAsia"/>
                <w:color w:val="auto"/>
                <w:sz w:val="24"/>
                <w:szCs w:val="24"/>
              </w:rPr>
              <w:t xml:space="preserve">办公、教学楼7幢，实验楼1幢,宿舍楼4幢</w:t>
            </w:r>
            <w:r/>
          </w:p>
        </w:tc>
        <w:tc>
          <w:tcPr>
            <w:tcW w:w="2318" w:type="dxa"/>
            <w:vAlign w:val="center"/>
            <w:vMerge w:val="restart"/>
            <w:textDirection w:val="lrTb"/>
            <w:noWrap w:val="false"/>
          </w:tcPr>
          <w:p>
            <w:pPr>
              <w:ind w:firstLine="0"/>
              <w:jc w:val="center"/>
              <w:spacing w:line="240" w:lineRule="auto"/>
              <w:rPr>
                <w:color w:val="auto"/>
                <w:sz w:val="24"/>
                <w:szCs w:val="24"/>
                <w:highlight w:val="cyan"/>
              </w:rPr>
            </w:pPr>
            <w:r>
              <w:rPr>
                <w:rFonts w:hint="eastAsia"/>
                <w:color w:val="auto"/>
                <w:sz w:val="24"/>
                <w:szCs w:val="24"/>
              </w:rPr>
              <w:t xml:space="preserve">详见项目需求“物业服务内容及标准”</w:t>
            </w:r>
            <w:r/>
          </w:p>
        </w:tc>
      </w:tr>
      <w:tr>
        <w:trPr>
          <w:jc w:val="center"/>
          <w:trHeight w:val="454"/>
        </w:trPr>
        <w:tc>
          <w:tcPr>
            <w:tcW w:w="2540" w:type="dxa"/>
            <w:vAlign w:val="center"/>
            <w:textDirection w:val="lrTb"/>
            <w:noWrap w:val="false"/>
          </w:tcPr>
          <w:p>
            <w:pPr>
              <w:ind w:firstLine="0"/>
              <w:jc w:val="center"/>
              <w:spacing w:line="240" w:lineRule="auto"/>
              <w:rPr>
                <w:rFonts w:hint="eastAsia"/>
                <w:color w:val="auto"/>
                <w:sz w:val="24"/>
                <w:szCs w:val="24"/>
              </w:rPr>
            </w:pPr>
            <w:r>
              <w:rPr>
                <w:rFonts w:hint="eastAsia"/>
                <w:color w:val="auto"/>
                <w:sz w:val="24"/>
                <w:szCs w:val="24"/>
                <w:lang w:val="en-US" w:eastAsia="zh-CN"/>
              </w:rPr>
              <w:t xml:space="preserve">校园</w:t>
            </w:r>
            <w:r>
              <w:rPr>
                <w:rFonts w:hint="eastAsia"/>
                <w:color w:val="auto"/>
                <w:sz w:val="24"/>
                <w:szCs w:val="24"/>
              </w:rPr>
              <w:t xml:space="preserve">面积</w:t>
            </w:r>
            <w:r/>
          </w:p>
        </w:tc>
        <w:tc>
          <w:tcPr>
            <w:tcW w:w="3947" w:type="dxa"/>
            <w:vAlign w:val="center"/>
            <w:textDirection w:val="lrTb"/>
            <w:noWrap w:val="false"/>
          </w:tcPr>
          <w:p>
            <w:pPr>
              <w:ind w:firstLine="0"/>
              <w:jc w:val="center"/>
              <w:spacing w:line="240" w:lineRule="auto"/>
              <w:rPr>
                <w:rFonts w:hint="default" w:eastAsiaTheme="minorEastAsia"/>
                <w:color w:val="auto"/>
                <w:sz w:val="24"/>
                <w:szCs w:val="24"/>
                <w:lang w:val="en-US" w:eastAsia="zh-CN"/>
              </w:rPr>
            </w:pPr>
            <w:r>
              <w:rPr>
                <w:rFonts w:hint="eastAsia"/>
                <w:color w:val="auto"/>
                <w:sz w:val="24"/>
                <w:szCs w:val="24"/>
                <w:lang w:val="en-US" w:eastAsia="zh-CN"/>
              </w:rPr>
              <w:t xml:space="preserve">158000</w:t>
            </w:r>
            <w:r>
              <w:rPr>
                <w:rFonts w:hint="eastAsia"/>
                <w:color w:val="auto"/>
                <w:sz w:val="24"/>
                <w:szCs w:val="24"/>
              </w:rPr>
              <w:t xml:space="preserve">（㎡）</w:t>
            </w:r>
            <w:r/>
          </w:p>
        </w:tc>
        <w:tc>
          <w:tcPr>
            <w:tcW w:w="2318" w:type="dxa"/>
            <w:vAlign w:val="center"/>
            <w:vMerge w:val="continue"/>
            <w:textDirection w:val="lrTb"/>
            <w:noWrap w:val="false"/>
          </w:tcPr>
          <w:p>
            <w:pPr>
              <w:spacing w:line="240" w:lineRule="auto"/>
              <w:rPr>
                <w:color w:val="auto"/>
                <w:sz w:val="24"/>
                <w:szCs w:val="24"/>
                <w:highlight w:val="cyan"/>
              </w:rPr>
            </w:pPr>
            <w:r>
              <w:rPr>
                <w:color w:val="auto"/>
                <w:sz w:val="24"/>
                <w:szCs w:val="24"/>
                <w:highlight w:val="cyan"/>
              </w:rPr>
            </w:r>
            <w:r/>
          </w:p>
        </w:tc>
      </w:tr>
      <w:tr>
        <w:trPr>
          <w:jc w:val="center"/>
          <w:trHeight w:val="454"/>
        </w:trPr>
        <w:tc>
          <w:tcPr>
            <w:tcW w:w="2540" w:type="dxa"/>
            <w:vAlign w:val="center"/>
            <w:textDirection w:val="lrTb"/>
            <w:noWrap w:val="false"/>
          </w:tcPr>
          <w:p>
            <w:pPr>
              <w:ind w:firstLine="0"/>
              <w:jc w:val="center"/>
              <w:spacing w:line="240" w:lineRule="auto"/>
              <w:rPr>
                <w:rFonts w:hint="default"/>
                <w:color w:val="auto"/>
                <w:sz w:val="24"/>
                <w:szCs w:val="24"/>
                <w:lang w:val="en-US" w:eastAsia="zh-CN"/>
              </w:rPr>
            </w:pPr>
            <w:r>
              <w:rPr>
                <w:rFonts w:hint="eastAsia"/>
                <w:color w:val="auto"/>
                <w:sz w:val="24"/>
                <w:szCs w:val="24"/>
                <w:lang w:val="en-US" w:eastAsia="zh-CN"/>
              </w:rPr>
              <w:t xml:space="preserve">绿化面积</w:t>
            </w:r>
            <w:r/>
          </w:p>
        </w:tc>
        <w:tc>
          <w:tcPr>
            <w:tcW w:w="3947" w:type="dxa"/>
            <w:vAlign w:val="center"/>
            <w:textDirection w:val="lrTb"/>
            <w:noWrap w:val="false"/>
          </w:tcPr>
          <w:p>
            <w:pPr>
              <w:ind w:firstLine="0"/>
              <w:jc w:val="center"/>
              <w:spacing w:line="240" w:lineRule="auto"/>
              <w:rPr>
                <w:rFonts w:hint="default" w:eastAsiaTheme="minorEastAsia"/>
                <w:color w:val="auto"/>
                <w:sz w:val="24"/>
                <w:szCs w:val="24"/>
                <w:lang w:val="en-US" w:eastAsia="zh-CN"/>
              </w:rPr>
            </w:pPr>
            <w:r>
              <w:rPr>
                <w:rFonts w:hint="eastAsia"/>
                <w:color w:val="auto"/>
                <w:sz w:val="24"/>
                <w:szCs w:val="24"/>
                <w:lang w:val="en-US" w:eastAsia="zh-CN"/>
              </w:rPr>
              <w:t xml:space="preserve">93380</w:t>
            </w:r>
            <w:r>
              <w:rPr>
                <w:rFonts w:hint="eastAsia"/>
                <w:color w:val="auto"/>
                <w:sz w:val="24"/>
                <w:szCs w:val="24"/>
              </w:rPr>
              <w:t xml:space="preserve">（㎡）</w:t>
            </w:r>
            <w:r/>
          </w:p>
        </w:tc>
        <w:tc>
          <w:tcPr>
            <w:tcW w:w="2318" w:type="dxa"/>
            <w:vAlign w:val="center"/>
            <w:vMerge w:val="continue"/>
            <w:textDirection w:val="lrTb"/>
            <w:noWrap w:val="false"/>
          </w:tcPr>
          <w:p>
            <w:pPr>
              <w:spacing w:line="240" w:lineRule="auto"/>
              <w:rPr>
                <w:color w:val="auto"/>
                <w:sz w:val="24"/>
                <w:szCs w:val="24"/>
                <w:highlight w:val="cyan"/>
              </w:rPr>
            </w:pPr>
            <w:r>
              <w:rPr>
                <w:color w:val="auto"/>
                <w:sz w:val="24"/>
                <w:szCs w:val="24"/>
                <w:highlight w:val="cyan"/>
              </w:rPr>
            </w:r>
            <w:r/>
          </w:p>
        </w:tc>
      </w:tr>
    </w:tbl>
    <w:p>
      <w:pPr>
        <w:ind w:firstLine="440"/>
        <w:rPr>
          <w:rFonts w:hint="eastAsia"/>
          <w:color w:val="auto"/>
          <w:sz w:val="24"/>
          <w:szCs w:val="24"/>
        </w:rPr>
      </w:pPr>
      <w:r>
        <w:rPr>
          <w:rFonts w:hint="eastAsia"/>
          <w:color w:val="auto"/>
          <w:sz w:val="24"/>
          <w:szCs w:val="24"/>
        </w:rPr>
      </w:r>
      <w:r/>
    </w:p>
    <w:tbl>
      <w:tblPr>
        <w:tblStyle w:val="747"/>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0"/>
        <w:gridCol w:w="3947"/>
        <w:gridCol w:w="2318"/>
      </w:tblGrid>
      <w:tr>
        <w:trPr>
          <w:jc w:val="center"/>
          <w:trHeight w:val="454"/>
        </w:trPr>
        <w:tc>
          <w:tcPr>
            <w:tcW w:w="2540"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名称</w:t>
            </w:r>
            <w:r/>
          </w:p>
        </w:tc>
        <w:tc>
          <w:tcPr>
            <w:tcW w:w="3947"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明细</w:t>
            </w:r>
            <w:r/>
          </w:p>
        </w:tc>
        <w:tc>
          <w:tcPr>
            <w:tcW w:w="2318"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服务内容及标准</w:t>
            </w:r>
            <w:r/>
          </w:p>
        </w:tc>
      </w:tr>
      <w:tr>
        <w:trPr>
          <w:jc w:val="center"/>
          <w:trHeight w:val="454"/>
        </w:trPr>
        <w:tc>
          <w:tcPr>
            <w:tcW w:w="2540" w:type="dxa"/>
            <w:vAlign w:val="center"/>
            <w:textDirection w:val="lrTb"/>
            <w:noWrap w:val="false"/>
          </w:tcPr>
          <w:p>
            <w:pPr>
              <w:ind w:firstLine="0"/>
              <w:jc w:val="center"/>
              <w:spacing w:line="240" w:lineRule="auto"/>
              <w:rPr>
                <w:rFonts w:hint="eastAsia"/>
                <w:color w:val="auto"/>
                <w:sz w:val="24"/>
                <w:szCs w:val="24"/>
              </w:rPr>
            </w:pPr>
            <w:r>
              <w:rPr>
                <w:rFonts w:hint="eastAsia" w:ascii="宋体" w:hAnsi="宋体" w:eastAsia="宋体" w:cs="宋体"/>
                <w:b/>
                <w:bCs/>
                <w:spacing w:val="-4"/>
                <w:sz w:val="24"/>
                <w:szCs w:val="24"/>
                <w:highlight w:val="none"/>
                <w:lang w:eastAsia="zh-CN"/>
              </w:rPr>
              <w:t xml:space="preserve">蓝海路校区</w:t>
            </w:r>
            <w:r/>
          </w:p>
        </w:tc>
        <w:tc>
          <w:tcPr>
            <w:tcW w:w="3947" w:type="dxa"/>
            <w:vAlign w:val="center"/>
            <w:textDirection w:val="lrTb"/>
            <w:noWrap w:val="false"/>
          </w:tcPr>
          <w:p>
            <w:pPr>
              <w:ind w:firstLine="0"/>
              <w:jc w:val="center"/>
              <w:spacing w:line="240" w:lineRule="auto"/>
              <w:rPr>
                <w:rFonts w:hint="eastAsia"/>
                <w:color w:val="auto"/>
                <w:sz w:val="24"/>
                <w:szCs w:val="24"/>
              </w:rPr>
            </w:pPr>
            <w:r>
              <w:rPr>
                <w:rFonts w:hint="eastAsia"/>
                <w:color w:val="auto"/>
                <w:sz w:val="24"/>
                <w:szCs w:val="24"/>
              </w:rPr>
              <w:t xml:space="preserve">在校师生约2050人，校园面积120亩，办公、教学楼4幢，宿舍楼3幢,体育馆1幢</w:t>
            </w:r>
            <w:r/>
          </w:p>
        </w:tc>
        <w:tc>
          <w:tcPr>
            <w:tcW w:w="2318" w:type="dxa"/>
            <w:vAlign w:val="center"/>
            <w:vMerge w:val="restart"/>
            <w:textDirection w:val="lrTb"/>
            <w:noWrap w:val="false"/>
          </w:tcPr>
          <w:p>
            <w:pPr>
              <w:ind w:firstLine="0"/>
              <w:jc w:val="center"/>
              <w:spacing w:line="240" w:lineRule="auto"/>
              <w:rPr>
                <w:color w:val="auto"/>
                <w:sz w:val="24"/>
                <w:szCs w:val="24"/>
                <w:highlight w:val="cyan"/>
              </w:rPr>
            </w:pPr>
            <w:r>
              <w:rPr>
                <w:rFonts w:hint="eastAsia"/>
                <w:color w:val="auto"/>
                <w:sz w:val="24"/>
                <w:szCs w:val="24"/>
              </w:rPr>
              <w:t xml:space="preserve">详见项目需求“物业服务内容及标准”</w:t>
            </w:r>
            <w:r/>
          </w:p>
        </w:tc>
      </w:tr>
      <w:tr>
        <w:trPr>
          <w:jc w:val="center"/>
          <w:trHeight w:val="454"/>
        </w:trPr>
        <w:tc>
          <w:tcPr>
            <w:tcW w:w="2540" w:type="dxa"/>
            <w:vAlign w:val="center"/>
            <w:textDirection w:val="lrTb"/>
            <w:noWrap w:val="false"/>
          </w:tcPr>
          <w:p>
            <w:pPr>
              <w:ind w:firstLine="0"/>
              <w:jc w:val="center"/>
              <w:spacing w:line="240" w:lineRule="auto"/>
              <w:rPr>
                <w:rFonts w:hint="eastAsia"/>
                <w:color w:val="auto"/>
                <w:sz w:val="24"/>
                <w:szCs w:val="24"/>
              </w:rPr>
            </w:pPr>
            <w:r>
              <w:rPr>
                <w:rFonts w:hint="eastAsia"/>
                <w:color w:val="auto"/>
                <w:sz w:val="24"/>
                <w:szCs w:val="24"/>
                <w:lang w:val="en-US" w:eastAsia="zh-CN"/>
              </w:rPr>
              <w:t xml:space="preserve">校园</w:t>
            </w:r>
            <w:r>
              <w:rPr>
                <w:rFonts w:hint="eastAsia"/>
                <w:color w:val="auto"/>
                <w:sz w:val="24"/>
                <w:szCs w:val="24"/>
              </w:rPr>
              <w:t xml:space="preserve">面积</w:t>
            </w:r>
            <w:r/>
          </w:p>
        </w:tc>
        <w:tc>
          <w:tcPr>
            <w:tcW w:w="3947" w:type="dxa"/>
            <w:vAlign w:val="center"/>
            <w:textDirection w:val="lrTb"/>
            <w:noWrap w:val="false"/>
          </w:tcPr>
          <w:p>
            <w:pPr>
              <w:ind w:firstLine="0"/>
              <w:jc w:val="center"/>
              <w:spacing w:line="240" w:lineRule="auto"/>
              <w:rPr>
                <w:rFonts w:hint="default" w:eastAsiaTheme="minorEastAsia"/>
                <w:color w:val="auto"/>
                <w:sz w:val="24"/>
                <w:szCs w:val="24"/>
                <w:lang w:val="en-US" w:eastAsia="zh-CN"/>
              </w:rPr>
            </w:pPr>
            <w:r>
              <w:rPr>
                <w:rFonts w:hint="eastAsia" w:ascii="宋体" w:hAnsi="宋体" w:eastAsia="宋体" w:cs="宋体"/>
                <w:b/>
                <w:bCs/>
                <w:spacing w:val="-4"/>
                <w:sz w:val="24"/>
                <w:szCs w:val="24"/>
                <w:highlight w:val="none"/>
                <w:lang w:val="en-US" w:eastAsia="zh-CN"/>
              </w:rPr>
              <w:t xml:space="preserve">80000</w:t>
            </w:r>
            <w:r>
              <w:rPr>
                <w:rFonts w:hint="eastAsia"/>
                <w:color w:val="auto"/>
                <w:sz w:val="24"/>
                <w:szCs w:val="24"/>
              </w:rPr>
              <w:t xml:space="preserve">（㎡）</w:t>
            </w:r>
            <w:r/>
          </w:p>
        </w:tc>
        <w:tc>
          <w:tcPr>
            <w:tcW w:w="2318" w:type="dxa"/>
            <w:vAlign w:val="center"/>
            <w:vMerge w:val="continue"/>
            <w:textDirection w:val="lrTb"/>
            <w:noWrap w:val="false"/>
          </w:tcPr>
          <w:p>
            <w:pPr>
              <w:spacing w:line="240" w:lineRule="auto"/>
              <w:rPr>
                <w:color w:val="auto"/>
                <w:sz w:val="24"/>
                <w:szCs w:val="24"/>
                <w:highlight w:val="cyan"/>
              </w:rPr>
            </w:pPr>
            <w:r>
              <w:rPr>
                <w:color w:val="auto"/>
                <w:sz w:val="24"/>
                <w:szCs w:val="24"/>
                <w:highlight w:val="cyan"/>
              </w:rPr>
            </w:r>
            <w:r/>
          </w:p>
        </w:tc>
      </w:tr>
      <w:tr>
        <w:trPr>
          <w:jc w:val="center"/>
          <w:trHeight w:val="454"/>
        </w:trPr>
        <w:tc>
          <w:tcPr>
            <w:tcW w:w="2540" w:type="dxa"/>
            <w:vAlign w:val="center"/>
            <w:textDirection w:val="lrTb"/>
            <w:noWrap w:val="false"/>
          </w:tcPr>
          <w:p>
            <w:pPr>
              <w:ind w:firstLine="0"/>
              <w:jc w:val="center"/>
              <w:spacing w:line="240" w:lineRule="auto"/>
              <w:rPr>
                <w:rFonts w:hint="default"/>
                <w:color w:val="auto"/>
                <w:sz w:val="24"/>
                <w:szCs w:val="24"/>
                <w:lang w:val="en-US" w:eastAsia="zh-CN"/>
              </w:rPr>
            </w:pPr>
            <w:r>
              <w:rPr>
                <w:rFonts w:hint="eastAsia"/>
                <w:color w:val="auto"/>
                <w:sz w:val="24"/>
                <w:szCs w:val="24"/>
                <w:lang w:val="en-US" w:eastAsia="zh-CN"/>
              </w:rPr>
              <w:t xml:space="preserve">绿化面积</w:t>
            </w:r>
            <w:r/>
          </w:p>
        </w:tc>
        <w:tc>
          <w:tcPr>
            <w:tcW w:w="3947" w:type="dxa"/>
            <w:vAlign w:val="center"/>
            <w:textDirection w:val="lrTb"/>
            <w:noWrap w:val="false"/>
          </w:tcPr>
          <w:p>
            <w:pPr>
              <w:ind w:firstLine="0"/>
              <w:jc w:val="center"/>
              <w:spacing w:line="240" w:lineRule="auto"/>
              <w:rPr>
                <w:rFonts w:hint="default"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 xml:space="preserve">19400</w:t>
            </w:r>
            <w:r>
              <w:rPr>
                <w:rFonts w:hint="eastAsia"/>
                <w:color w:val="auto"/>
                <w:sz w:val="24"/>
                <w:szCs w:val="24"/>
              </w:rPr>
              <w:t xml:space="preserve">（㎡）</w:t>
            </w:r>
            <w:r/>
          </w:p>
        </w:tc>
        <w:tc>
          <w:tcPr>
            <w:tcW w:w="2318" w:type="dxa"/>
            <w:vAlign w:val="center"/>
            <w:vMerge w:val="continue"/>
            <w:textDirection w:val="lrTb"/>
            <w:noWrap w:val="false"/>
          </w:tcPr>
          <w:p>
            <w:pPr>
              <w:spacing w:line="240" w:lineRule="auto"/>
              <w:rPr>
                <w:color w:val="auto"/>
                <w:sz w:val="24"/>
                <w:szCs w:val="24"/>
                <w:highlight w:val="cyan"/>
              </w:rPr>
            </w:pPr>
            <w:r>
              <w:rPr>
                <w:color w:val="auto"/>
                <w:sz w:val="24"/>
                <w:szCs w:val="24"/>
                <w:highlight w:val="cyan"/>
              </w:rPr>
            </w:r>
            <w:r/>
          </w:p>
        </w:tc>
      </w:tr>
    </w:tbl>
    <w:p>
      <w:pPr>
        <w:ind w:firstLine="440"/>
        <w:rPr>
          <w:rFonts w:hint="eastAsia"/>
          <w:color w:val="auto"/>
          <w:sz w:val="24"/>
          <w:szCs w:val="24"/>
        </w:rPr>
      </w:pPr>
      <w:r>
        <w:rPr>
          <w:rFonts w:hint="eastAsia"/>
          <w:color w:val="auto"/>
          <w:sz w:val="24"/>
          <w:szCs w:val="24"/>
        </w:rPr>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二、项目总体要求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1</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zh-CN" w:eastAsia="en-US"/>
        </w:rPr>
        <w:t xml:space="preserve">物业公司在学校独立进行内部管理的同时，还必须服从学校相关职能部门的监督和领导。</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2.投标单位必须全面认真了解学校的全天候管理内容及要求，能够确保按时保质保量完成管理任务。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3.物业公司招聘的工作的人员，非离、退休人员。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4.物业公司安排到盐城市第一中学工作的人员：（1）必须服从招标人的工作安排，遵守学校的相关纪律要求，品德高尚，作风正派，关心热爱学生，身体、心理健康（不能有肝炎、肺结核等传染病，不能有精神病），吃苦耐劳；无犯罪记录。（2）必须是具有初中以上文化程度，能从事午间、夜间值班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5.对因工作不到位而引起学校、师生财产损失的，将追究当事人责任并根据情况予以赔偿。</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6.物业管理费用由甲方经考评后按月发放。中标人领取费用时必须出具税务机关开出的正式发票。甲方按月付清中标人物业费用，不再负责中标人因此产生的债务或其他经济问题。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7.招标人考核时如发现现场人数与投标人数不符的，招标人付款时将按投标工资双倍扣款。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8.中标人要按时足额发放所有人员工资。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lang w:val="zh-CN" w:eastAsia="en-US"/>
        </w:rPr>
        <w:t xml:space="preserve">物业管理单位应从本物业管理实际出发，根据合同约定的管理服务范围和标准， 设立专门的项目管理机构，配备符合要求的物业管理人员、工程专业技术人员和各类服务人员，制定完整、有效的内部管理制度和日常服务运行管理制度等相关制度。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lang w:val="zh-CN" w:eastAsia="en-US"/>
        </w:rPr>
        <w:t xml:space="preserve">物业管理单位对大楼的环境保洁服务，提供整洁、卫生、美观的环境；物业管 理单位应为楼内办公人员提供优美的工作环境；物业管理单位对自然灾害、事故灾 害、公共卫生事件等突发公共事件建立应急预案，并组织培训、演练。有突发事件 按规定程序及时采取相应措施。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11.</w:t>
      </w:r>
      <w:r>
        <w:rPr>
          <w:rFonts w:hint="eastAsia" w:ascii="宋体" w:hAnsi="宋体" w:eastAsia="宋体" w:cs="宋体"/>
          <w:color w:val="auto"/>
          <w:sz w:val="24"/>
          <w:szCs w:val="20"/>
          <w:highlight w:val="none"/>
          <w:lang w:val="zh-CN" w:eastAsia="en-US"/>
        </w:rPr>
        <w:t xml:space="preserve">物业公司在学校独立进行内部管理的同时，还必须服从学校相关职能部门的监督和领导。投标单位必须全面认真了解学校的全天候管理内容及要求，能够确保按时保质保量完成管理任务。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bookmarkStart w:id="178" w:name="OLE_LINK8"/>
      <w:r/>
      <w:bookmarkStart w:id="179" w:name="OLE_LINK9"/>
      <w:r>
        <w:rPr>
          <w:rFonts w:hint="eastAsia" w:ascii="宋体" w:hAnsi="宋体" w:eastAsia="宋体" w:cs="宋体"/>
          <w:color w:val="auto"/>
          <w:sz w:val="24"/>
          <w:szCs w:val="20"/>
          <w:highlight w:val="none"/>
          <w:lang w:val="en-US" w:eastAsia="zh-CN"/>
        </w:rPr>
        <w:t xml:space="preserve">12</w:t>
      </w:r>
      <w:bookmarkEnd w:id="178"/>
      <w:r/>
      <w:bookmarkEnd w:id="179"/>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en-US"/>
        </w:rPr>
        <w:t xml:space="preserve">物业公司安排到</w:t>
      </w:r>
      <w:r>
        <w:rPr>
          <w:rFonts w:hint="eastAsia" w:ascii="宋体" w:hAnsi="宋体" w:eastAsia="宋体" w:cs="宋体"/>
          <w:color w:val="auto"/>
          <w:sz w:val="24"/>
          <w:szCs w:val="20"/>
          <w:highlight w:val="none"/>
          <w:lang w:val="zh-CN" w:eastAsia="zh-CN"/>
        </w:rPr>
        <w:t xml:space="preserve">盐城市第一中学</w:t>
      </w:r>
      <w:r>
        <w:rPr>
          <w:rFonts w:hint="eastAsia" w:ascii="宋体" w:hAnsi="宋体" w:eastAsia="宋体" w:cs="宋体"/>
          <w:color w:val="auto"/>
          <w:sz w:val="24"/>
          <w:szCs w:val="20"/>
          <w:highlight w:val="none"/>
          <w:lang w:val="zh-CN" w:eastAsia="en-US"/>
        </w:rPr>
        <w:t xml:space="preserve">工作的人员，必须服从招标人的工作安排，遵守学校的相关纪律要求，品德高尚，作风正派，关心热爱学生，身体、心理健康（不能有肝炎、肺结核等传染病，不能有精神病），吃苦耐劳；无犯罪记录。对因工作不到位而引起学校、师生财产损失的，将追究当事人责任并根据情况予以赔偿。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13.</w:t>
      </w:r>
      <w:r>
        <w:rPr>
          <w:rFonts w:hint="eastAsia" w:ascii="宋体" w:hAnsi="宋体" w:eastAsia="宋体" w:cs="宋体"/>
          <w:color w:val="auto"/>
          <w:sz w:val="24"/>
          <w:szCs w:val="20"/>
          <w:highlight w:val="none"/>
          <w:lang w:val="zh-CN" w:eastAsia="en-US"/>
        </w:rPr>
        <w:t xml:space="preserve">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14.</w:t>
      </w:r>
      <w:r>
        <w:rPr>
          <w:rFonts w:hint="eastAsia" w:ascii="宋体" w:hAnsi="宋体" w:eastAsia="宋体" w:cs="宋体"/>
          <w:color w:val="auto"/>
          <w:sz w:val="24"/>
          <w:szCs w:val="20"/>
          <w:highlight w:val="none"/>
          <w:lang w:val="zh-CN" w:eastAsia="en-US"/>
        </w:rPr>
        <w:t xml:space="preserve">招标人考核时如发现现场人数与投标人数不符的，招标人付款时将按投标工资双倍扣款。中标人为所聘用的人员的社会保险均须按相关规定缴纳到位，中标后中标单位须按规定给所招聘的服务人员缴纳。注：招标人仅支付单位应缴的社保费用，个人承担部分招标人不予支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15.</w:t>
      </w:r>
      <w:r>
        <w:rPr>
          <w:rFonts w:hint="eastAsia" w:ascii="宋体" w:hAnsi="宋体" w:eastAsia="宋体" w:cs="宋体"/>
          <w:color w:val="auto"/>
          <w:sz w:val="24"/>
          <w:szCs w:val="20"/>
          <w:highlight w:val="none"/>
          <w:lang w:val="zh-CN" w:eastAsia="en-US"/>
        </w:rPr>
        <w:t xml:space="preserve">用工人数参见本章《人员配置要求表》，实际用工人数不得小于表内配置人数。</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三、物业管理范围及具体服务项目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盐城市第一中学物业管理服务，至少包含盐城市第一中学大楼、绿化区域、停车场等公共场所的卫生保洁、宿舍管理、功能室管理、专职保安以及学校安排的其他有关物业管理事项。</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（一）项目经理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1.项目经理是物业公司负责本项目的管理人员，负责本项目服务范围内的人员管理、工作（服务）质量、安全保障等方面管理。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项目经理应遵守学校的管理制度，接受学校的工作安排，负责公司与学校之间的沟通、联系。</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建立物业管理台账，每月向学校递交包含《交接班记录》、《校园安全巡查记录》、门卫、宿舍《来访人员登记表》、《消防控制室值班记录》、《消防安全巡查记录》等台账资料。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及时向学校有关部门汇报管理中出现的新问题、难题，提出解决方法。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协助学校工作，对本部门各方面工作负责并负责实施本部门工作计划。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6.平时及重大活动，能按照学校要求全面指导物业员工高质量、高标准完成各项工作。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7.传达学校批示，指导、督促员工，依照规定办事。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8.负责对本部门员工的思想教育和日常管理工作。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9.定期对员工进行培训，严格管理，按期工作，做好示范。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10.负责检查记录本部门员工工作情况，及时了解掌握本部门各方面情况。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11.根据工作的需求，组织安排人力，以达到高效率服务的目的。</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12.负责临时增派任务的组织管理工作。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13.协助学校处理紧急情况。</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二</w:t>
      </w:r>
      <w:r>
        <w:rPr>
          <w:rFonts w:hint="eastAsia" w:ascii="宋体" w:hAnsi="宋体" w:eastAsia="宋体" w:cs="宋体"/>
          <w:b/>
          <w:bCs/>
          <w:color w:val="auto"/>
          <w:sz w:val="24"/>
          <w:szCs w:val="20"/>
          <w:highlight w:val="none"/>
          <w:lang w:val="zh-CN" w:eastAsia="zh-CN"/>
        </w:rPr>
        <w:t xml:space="preserve">）专职保安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1.门卫保安：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严格遵守各项规章制度，坚守岗位、不脱岗，搞好交接班、值班登记工作。熟悉了解消防、保卫工作的重点部位和防范应急措施，防止火灾、盗窃、破坏及寻衅滋事等突发事件的发生。遇到突发事件和异常情况，保安人员及时汇报，并按预案处置要求，采取相应措施，确保安全。统一着装，姿态端庄，保持窗口单位文明形象；与来访者交流，讲话用语文明礼貌规范，做好“门前三包”卫生保洁工作。夜间值班保安员，当班期间定时巡查，禁止睡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eastAsia="zh-CN"/>
        </w:rPr>
        <w:t xml:space="preserve">大门门卫、巡逻、访客登记与联系、报刊收发、邮件快递收发、校园车辆导引与管理、门前三包、消防管理、突发事件处理：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lang w:val="zh-CN" w:eastAsia="zh-CN"/>
        </w:rPr>
        <w:t xml:space="preserve">）立岗与坐岗：正常情况下为坐岗，有访客时为立岗，如学校安排接待重要来宾时实行立岗。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eastAsia="zh-CN"/>
        </w:rPr>
        <w:t xml:space="preserve">）检查：负责对进出入校园的陌生人、车辆、物品检查、询问、登记，学生凭学生证进入，老师凭工作证进入，外来人员必须得到学校老师的电话确认或亲临现场带领、同时必须在门岗登记方可进入。因工作需要进入校园必须进行登记经相关部门同意后方可进入校园。访客达到半天时间没有离开者请老师带访客到物业管理处办理限期的逗留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巡逻：全天候、全方位巡逻，每个班次不少于两人。交接班时，接班人须对全校巡逻一遍确认无问题后填写接班记录方完成接班程序。每次巡逻对时间、人员、问题留有记录，（确保每幢楼、每个楼层、每个功能场馆、每一间及室外设施设备均巡查到位并拍照发学校相关微信群，每天巡查二次即中午放学后和晚上放学后）发现安全隐患及时向后勤服务中心和安全管理中心汇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治安防范：发现有学生或是其它人员在学校区域内打架或是日常治安行为，接通知或是发现，立刻派有关工作人员到现场进行制止、劝说、调解，不能制止或是不听劝说、调解，报学校相关部门或视情节轻重请公安部门来处理。发现有盗窃或是其它违法行为时，一是制止，二是阻吓，三是报案，四是保护现场，五是等公安执法来处理。如接到学校方通知请外来人员出去时，立刻派人前往现场请其出去，不听劝说出去者，将报公安机关来处理。如有火情或其它灾情，保护现场，疏散人群，进行一些不危及人身安全的救助行为并及时通知后勤服务处及相关部门来抢险救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eastAsia="zh-CN"/>
        </w:rPr>
        <w:t xml:space="preserve">）车辆管理：外来车辆需要临时进入须得到总务部门同意后方可进入，并办理相关进入手续；大型活动期间负责外来车辆行进路线与停放位置的导引。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zh-CN" w:eastAsia="zh-CN"/>
        </w:rPr>
        <w:t xml:space="preserve">）体育设施开放：在规定时间段内向市民开放体育设施，按规定完成卫生保洁和安全保卫工作。不得私自开放规定之外的场馆、设施设备。</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lang w:val="zh-CN" w:eastAsia="zh-CN"/>
        </w:rPr>
        <w:t xml:space="preserve">）常规工作：学校重大活动期间的公共安全防范与秩序维护等，校门门前“三包”及公共秩序管理，按照校方要求做好所有部门和人员日常的信件、报刊和邮件品的登记、收发工作。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lang w:val="zh-CN" w:eastAsia="zh-CN"/>
        </w:rPr>
        <w:t xml:space="preserve">）门卫值班时间：值班时间为24小时制。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3.其他项目：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（1）学校大型活动及会务工作等安全保障临时性的应急工作。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（2）校园内发生重大安全事故的协助处理，突发灾害性事故的应急处置等。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保安防暴器材、无线对讲机等保安设备由成交供应商负责提供。</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lang w:val="zh-CN" w:eastAsia="zh-CN"/>
        </w:rPr>
        <w:t xml:space="preserve">）校园保洁</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 基本要求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（1）建立保洁服务的工作制度及工作计划，并按照执行。</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（2）做好保洁服务工作记录，记录填写规范、保存完好。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（3）作业时采取安全防护措施，防止对作业人员或他人造成伤害。相关耗材的环保、安全性等应当符合国家相关规定要求。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（4）须保持整个服务区环境优美，卫生整洁；保持室内 外各公共包干区清洁卫生、环境宜人；重点部位须专人负责，始终保持清洁状态，配合绿化维保单位做好室外绿化养护及管理工作。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（5）保洁服务范围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①室内部分包括：所有楼内公共区域；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②室外部分包括：道路、广场、停车位、绿化带、停车 场等公共环境。</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 室外区域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（1）每天清扫道路、广场、停车场、绿化带等地面 1 次， 每天巡视 2-4 次，发现垃圾、杂物应及时处理。对区域 内各种设施进行除尘和清洗，保持外围干净、地面整洁。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（2）绿化带定期巡查，及时清扫瓜皮果壳、废纸、杂物等垃圾。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（3）及时收集各类垃圾，堆放在指定地点。每天巡检、清 运一次，清运时密封装置，确保无飘洒和漏水现象。及时清洗垃圾筒筒身，更换垃圾袋，保持干净、无异味、无满溢。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（4）保持路牌、标识、消防箱、电表箱、水表箱、外围灯 柱、音箱、监控等物体表面上的清洁。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（5）每周清除 1 次卫生死角，水管处、下水道口、排水沟、水池、雨水槽内阴沟、污水井等地方，要确保其内 无杂物、无异味、保持畅通。</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3. 室内公共区域：大厅、走廊、楼梯</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（1）每日循环清扫地面垃圾，清除台面、地面的污迹，雨 天无水渍，每月彻底清洗 2 次，平时发现污渍及时处理。大厅的地面每日巡回保洁，每季度抛光 1 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（2）每日抹净门厅玻璃，每周全面清洗1次，保持玻璃干净明亮，无手印、无水印、擦净门框、柱子等灰尘。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（3）每日抹净大厅内指示牌、告示牌、显示牌、接待台</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等，抹净各处灯罩、金属框、花架，使其无积尘，每周 全面清除沙发、茶几等各处卫生死角。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（4）大厅各处金属包边、告示牌支架等，用金属清洁保养剂擦亮，保持无手印，无氧化痕迹、无锈蚀，每日擦 1 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（5）每日擦抹风口、灭火器。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（6）用除尘布抹净块料地面，保持地面无脚印、无灰尘，视地面磨损情况进行晶面处理的保养维护，使其光亮照人。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（7）除净墙面的灰尘，不可留有指印或污迹。垃圾不能满过筒身之际的 1/2。每日清倒垃圾两次，及时更换垃圾袋，及时处理垃圾筒上面的痰迹，使其外表干净、光亮、无满溢垃圾现象。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（8）对大厅、走廊地面视其磨损程度，进行晶面处理的保养维护，使其干净，光亮。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（9）每日擦净大堂块料面墙壁，使其光亮，保持录像眼、风口、天花板及扬声器洁净，定期清除灯罩上面的灰尘 和消防器材的灰尘，保持无积尘、干净。</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（10）每天检查大厅的盆栽植物、花</w:t>
      </w:r>
      <w:r>
        <w:rPr>
          <w:rFonts w:hint="eastAsia" w:ascii="宋体" w:hAnsi="宋体" w:eastAsia="宋体" w:cs="宋体"/>
          <w:color w:val="auto"/>
          <w:sz w:val="24"/>
          <w:szCs w:val="20"/>
          <w:highlight w:val="none"/>
          <w:lang w:val="en-US" w:eastAsia="zh-CN"/>
        </w:rPr>
        <w:t xml:space="preserve">草</w:t>
      </w:r>
      <w:r>
        <w:rPr>
          <w:rFonts w:hint="eastAsia" w:ascii="宋体" w:hAnsi="宋体" w:eastAsia="宋体" w:cs="宋体"/>
          <w:color w:val="auto"/>
          <w:sz w:val="24"/>
          <w:szCs w:val="20"/>
          <w:highlight w:val="none"/>
          <w:lang w:val="zh-CN" w:eastAsia="zh-CN"/>
        </w:rPr>
        <w:t xml:space="preserve">，保持无烟头纸屑等 杂物。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（11）每日擦抹门庭、大厅正门多次，保持无灰尘、无污渍、无水迹。每周清除 1 次办公楼陈列品的积尘，保持 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（12）走廊内隔墙玻璃每周全面清洁 1 次，平时发现手印、污渍等及时擦净。</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（13）擦净楼梯扶手，拖净楼梯，各眼见手及之处，经常抹尘，保持清洁。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（14）每日抹净电梯内壁，每周全面清洁消毒 1 次。每日对电梯轿厢用保养剂进行保养，对地毯至少一次以上吸尘，每周对地毯进行一次彻底清洗。</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4. 公共洗手间、开水间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（1）公共洗手间的卫生纸、擦手纸摆放。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（2）清洗所有卫生间地面，抹净洁具、门框、墙身，保持无灰尘、无垃圾、无异味、无手脚印、无污渍等。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（3）洗手间隔板、烘手机、纸盒每天擦抹 1 次。小便池、 厕位、水池每 1 小时冲洗 1 次，每天用洗液清洗 1 次。每周用消毒剂消毒洁具 2 次，整体卫生间全面消毒，每 月 1 次。洗手台每月抛光保养 1 次，每天清洁镜面、台面、洗手盆 4 次。上班时间每小时巡视 4 次，发现污迹、水迹、积水、头发、手印、便迹、异味、报纸等及时清理。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（4）每周1次全面清洗墙面瓷砖，地面用清洁剂刷洗，天花板擦净，灯具、风口抹尘，保持干净，无污渍。卫生间、茶水间的地面每天拖地至少4次以上，每天冲洗 1 次，保持地面干燥。</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5. 停车场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（1）每日清扫地面垃圾杂物，特别注意车上抛出的垃圾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物。保持地面无垃圾杂物、无积水、无明显泥土，保持 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（2）雨天增加清扫力度，发现泥土及时清理，雨天注意清理通道口集水沟、井的杂物。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（3）每日打扫抹净消火栓、防撞标志、天花板、垃圾桶、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风口、警铃等设施的灰尘，保持干净无污迹、无泥沙、 无尘。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（4）及时清倒垃圾，将垃圾运到指定地点。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（5）每月彻底清除露天停车场的死角（包括通道口</w:t>
      </w:r>
      <w:r>
        <w:rPr>
          <w:rFonts w:ascii="PingFang SC" w:hAnsi="PingFang SC" w:eastAsia="PingFang SC" w:cs="PingFang SC"/>
          <w:i w:val="0"/>
          <w:iCs w:val="0"/>
          <w:caps w:val="0"/>
          <w:color w:val="202329"/>
          <w:spacing w:val="0"/>
          <w:sz w:val="24"/>
          <w:szCs w:val="24"/>
          <w:highlight w:val="none"/>
          <w:shd w:val="clear" w:color="auto" w:fill="ffffff"/>
        </w:rPr>
        <w:t xml:space="preserve">积</w:t>
      </w:r>
      <w:r>
        <w:rPr>
          <w:rFonts w:hint="eastAsia" w:ascii="宋体" w:hAnsi="宋体" w:eastAsia="宋体" w:cs="宋体"/>
          <w:color w:val="auto"/>
          <w:sz w:val="24"/>
          <w:szCs w:val="20"/>
          <w:highlight w:val="none"/>
          <w:lang w:val="zh-CN" w:eastAsia="zh-CN"/>
        </w:rPr>
        <w:t xml:space="preserve">水沟、井），对油污较多的车位地面进行特别处理。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（6）清洁中如发现车门或车窗、车灯没有关好，应及时通告车库值班人员，以便得到妥善处理，并将此事汇报主管。</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6. 垃圾处理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（1）在指定位置摆放分类垃圾桶，并在显著处张贴垃圾 分类标识。分类垃圾桶和垃圾分类标识根据所在城市的  要求设置。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（2）桶身表面干净无污渍，每日开展至少1次清洁作业。</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（3）每个工作日内要对楼层产生的垃圾，进行清理分类，并运至垃圾集中堆放点。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（4）垃圾装袋， 日产日清。</w:t>
      </w:r>
      <w:r/>
    </w:p>
    <w:p>
      <w:pPr>
        <w:ind w:firstLine="474"/>
        <w:jc w:val="both"/>
        <w:spacing w:line="520" w:lineRule="exact"/>
        <w:rPr>
          <w:rFonts w:ascii="宋体" w:hAnsi="宋体" w:eastAsia="宋体" w:cs="宋体"/>
          <w:sz w:val="24"/>
          <w:szCs w:val="24"/>
          <w:highlight w:val="none"/>
          <w:lang w:eastAsia="zh-CN"/>
        </w:rPr>
      </w:pPr>
      <w:r>
        <w:rPr>
          <w:rFonts w:ascii="宋体" w:hAnsi="宋体" w:eastAsia="宋体" w:cs="宋体"/>
          <w:b/>
          <w:bCs/>
          <w:spacing w:val="-2"/>
          <w:sz w:val="24"/>
          <w:szCs w:val="24"/>
          <w:highlight w:val="none"/>
          <w:lang w:eastAsia="zh-CN"/>
        </w:rPr>
        <w:t xml:space="preserve">垃圾须日积日清，负责与环卫部门对接清理清运出</w:t>
      </w:r>
      <w:r>
        <w:rPr>
          <w:rFonts w:hint="eastAsia" w:ascii="宋体" w:hAnsi="宋体" w:eastAsia="宋体" w:cs="宋体"/>
          <w:b/>
          <w:bCs/>
          <w:spacing w:val="-2"/>
          <w:sz w:val="24"/>
          <w:szCs w:val="24"/>
          <w:highlight w:val="none"/>
          <w:lang w:eastAsia="zh-CN"/>
        </w:rPr>
        <w:t xml:space="preserve">盐城市第一中学</w:t>
      </w:r>
      <w:r>
        <w:rPr>
          <w:rFonts w:ascii="宋体" w:hAnsi="宋体" w:eastAsia="宋体" w:cs="宋体"/>
          <w:b/>
          <w:bCs/>
          <w:spacing w:val="-2"/>
          <w:sz w:val="24"/>
          <w:szCs w:val="24"/>
          <w:highlight w:val="none"/>
          <w:lang w:eastAsia="zh-CN"/>
        </w:rPr>
        <w:t xml:space="preserve">。因创文创卫需要突击期间，做好相关保障及垃圾清理清运工</w:t>
      </w:r>
      <w:r>
        <w:rPr>
          <w:rFonts w:ascii="宋体" w:hAnsi="宋体" w:eastAsia="宋体" w:cs="宋体"/>
          <w:b/>
          <w:bCs/>
          <w:spacing w:val="-3"/>
          <w:sz w:val="24"/>
          <w:szCs w:val="24"/>
          <w:highlight w:val="none"/>
          <w:lang w:eastAsia="zh-CN"/>
        </w:rPr>
        <w:t xml:space="preserve">作。</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7. 具体清洁要求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（1）瓷砖地面：推尘，保持地面干净无杂物，使用洗洁精或肥皂水清理。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（2）石材地面：使用中性清洁剂清洁，避免使用强酸或强碱清洁剂。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注：根据物业用材情况选择清洁要求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保洁易耗品由成交供应商负责提供，如拖把、抹布等保洁用具及清洁保养的各种清洁液等。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（四）宿舍管理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负责男、女生宿舍的日常管理工作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1．保证学生在宿舍休息时在岗，认真完成分工工作，不擅自离岗、串岗，特殊情况需预先向主管部门请假，并安排好人员代班。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2．填写好工作日志，做好来客登记。</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3．早、中、晚上课前督促学生离开寝室，按作息时间开关宿舍大门及电源。</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4．按照宿舍检查标准，积极主动地做好每日学生宿舍的各项检查工作，及时反馈，上交学生工作处，发现物品损坏要及时登记并报修。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5．竭诚为广大住校生服务，不与学生及家长发生冲突。服从学校主管部门安排的其它工作。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6．做好安全工作。宿舍非开放时间里，除学校管理人员外，其他人员不得进入宿舍。如有特殊原因确需进入，须有班主任或者相关部门出具的证明并登记后进入。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7．早、中、晚关门后，及时对所管辖的区域清场。晚上熄灯后，应对寝室周围及内部各楼层巡视一遍，发现问题及时反映，然后锁上大门，管好钥匙。锁门后，夜间无特殊情况做到不开门。</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8．定期对宿舍内的各项安全设施（楼梯灯、消防栓、灭火器、应急灯等）进行检查，发现安全隐患要及时上报。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9．教育并督促住校生做好安全保卫工作，认真做好防偷、防火、防电（触电等）和防止其他意外事故的发生。</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10．督促学生打扫寝室、清洁卫生、整理内务,做到每日检查、登记、公布结果。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11．晚就寝协助值班老师清点每个宿舍住宿学生人数、维持寝室纪律。夜间随机巡查宿舍，杜绝学生夜间违纪情况发生。对不按时归寝及夜不归寝者必须做好记录,并及时报学生所在班主任。</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12．宿舍开放时间内，管理员需经常在宿舍楼内巡视检查，督促学生保持好卫生，制止违纪行为。</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13．对学生在宿舍内怪叫、起哄、吵架、浪费水电、乱倒乱扔垃圾、挪用他人物品及点明火等举动，要给予正面教育，及时劝阻和制止，方法要得当。</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14．严禁男女学生互窜宿舍，宿舍熄灯后,严禁喧哗、打闹、点蜡烛，严禁学生擅留他人住宿。</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15. 严禁学生私接电源,使用违规电器,烧电、汽、酒精炉。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16. 管理好宿舍内的水、电,厉行节约,做到每日按规定要求按时锁门、开关电灯。</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17.负责宿舍区内公共区域的卫生打扫、保洁工作及根据情况及时消毒记录等。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18．做好宿舍管理员室的清洁卫生工作。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19．做好学生工作处交予的其它工作。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20.宿管员须做好“日反馈”工作，对一天的管理中发现的学生违纪行为、卫生工作不到位现象，及时记载并通报至学生工作处。</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（五）功能室管理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负责学校会议室、多媒体教室、体育馆、健身房和读吧的卫生和门窗关锁，上述各功能室内设备设施的使用、维护与管理以及各功能室使用前的对接、保障和使用后的恢复。</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1.能熟练掌握各功能室内电源、灯光设备、音响设备、大屏控制设备的使用方法。在学校开展各类活动时能确保灯光、音响、大屏等设备的正常使用或达到学校要求的预期效果。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2.根据学校或各部门的使用需求，在规定时间内对多媒体教室、各类会议室进行使用准备，具体包含：一体机、大屏、音响、席卡、茶水、桌椅、卫生等达到使用需求。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根据校内各类活动以及对外展示活动安排，在活动开始前对使用或参观到的功能室进行前期准备，具体包含：各类设备的开启、物品有序摆放、灯光开启、桌椅摆放整齐、卫生整洁等达到预期的使用和展示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4.读吧内图书整理有序，按类别摆放整齐，不存在散落现象。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5.日常定期主动对负责的功能室进行卫生保洁、设备设施的检测维护与保养、水电设施的检查、门窗关锁的检查等。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（六） 日常会务和大型活动服务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日常会务和大型活动，乙方须无条件提供安保、卫生保洁、会务服务等工作。</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七</w:t>
      </w:r>
      <w:r>
        <w:rPr>
          <w:rFonts w:hint="eastAsia" w:ascii="宋体" w:hAnsi="宋体" w:eastAsia="宋体" w:cs="宋体"/>
          <w:b/>
          <w:bCs/>
          <w:color w:val="auto"/>
          <w:sz w:val="24"/>
          <w:szCs w:val="20"/>
          <w:highlight w:val="none"/>
          <w:lang w:val="zh-CN" w:eastAsia="zh-CN"/>
        </w:rPr>
        <w:t xml:space="preserve">）宿舍管理员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值守宿舍大门，阻止闲杂人员进入学生宿舍，阻止住宿生进入异性宿舍。按作息时间，开启、锁闭宿舍门、楼道门。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按时检查住宿学生归寝情况，发现未按时归寝的应及时向值日干部老师汇报，协助值日干部老师追查学生行踪。</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早晨、中午学生离开宿舍后，清查滞留宿舍的学生，发现滞留学生及时向其班主任报告，并填写检查记录。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经常巡查宿舍，对住宿学生的不良生活习惯进行批评教育，引导他们养成良好的生活习惯；发现违禁电器设备和危险用品，立即收缴；检查公物损坏情况，并追究当事人责任。关心住宿学生，帮助他们解决临时困难；解决学生之间临时矛盾纠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做好宿舍区内的卫生保洁工作，茶水房安全检查、卫生保洁工作，值班室内的卫生保洁和被褥清洗与更换工作。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特别说明：学校保留对上述暂定招标内容及范围适当调整的权利。</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八</w:t>
      </w:r>
      <w:r>
        <w:rPr>
          <w:rFonts w:hint="eastAsia" w:ascii="宋体" w:hAnsi="宋体" w:eastAsia="宋体" w:cs="宋体"/>
          <w:b/>
          <w:bCs/>
          <w:color w:val="auto"/>
          <w:sz w:val="24"/>
          <w:szCs w:val="20"/>
          <w:highlight w:val="none"/>
          <w:lang w:val="zh-CN" w:eastAsia="zh-CN"/>
        </w:rPr>
        <w:t xml:space="preserve">）档案、资料管理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加强有关物业的档案和资料管理。档案和资料的管理包括：业主投诉和意见档案、安全管理记录档案、清洁卫生管理档案、环境绿化管理档案、物业人事管理及人员培训档案等，以及具体的管理方案。物业管理企业所有档案要求做到保存完整，管理完善，交接手续完备，检索方便准确。</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九</w:t>
      </w:r>
      <w:r>
        <w:rPr>
          <w:rFonts w:hint="eastAsia" w:ascii="宋体" w:hAnsi="宋体" w:eastAsia="宋体" w:cs="宋体"/>
          <w:b/>
          <w:bCs/>
          <w:color w:val="auto"/>
          <w:sz w:val="24"/>
          <w:szCs w:val="20"/>
          <w:highlight w:val="none"/>
          <w:lang w:val="zh-CN" w:eastAsia="zh-CN"/>
        </w:rPr>
        <w:t xml:space="preserve">）建立健全物业管理制度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根据盐城市第一中学的具体情况，受托单位应制定企业详细的内部管理制度、日常服务的运作管理制度等相关制度。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（1）物业管理员工行为规范；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（2）项目经理岗位职责；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（3）保安工作职责；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（4）保洁工作职责；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（5）报刊收发、邮寄人员工作职责；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（6）考核奖惩制度；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（7）安全保卫制度；</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zh-CN" w:eastAsia="zh-CN"/>
        </w:rPr>
        <w:t xml:space="preserve">、特别说明：</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1.学校有重大活动或检查时，无论是星期还是节假日，接到学校通知均按时到校加班（加班费由物业公司承担）。</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2.物业使用的所有卫生保洁等工具均由物业公司提供。</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3.在重大活动、日常事务或接待中出现人为失误而形成不良影响；卫生保洁不到位的，学校将发函告知贵公司，视情节并处罚款。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4.学校保留对上述暂定招标内容及范围适当调整的权利。</w:t>
      </w:r>
      <w:r/>
    </w:p>
    <w:p>
      <w:pPr>
        <w:spacing w:line="21" w:lineRule="exact"/>
        <w:rPr>
          <w:highlight w:val="none"/>
          <w:lang w:eastAsia="zh-CN"/>
        </w:rPr>
      </w:pPr>
      <w:r>
        <w:rPr>
          <w:highlight w:val="none"/>
          <w:lang w:eastAsia="zh-CN"/>
        </w:rPr>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五、岗位设置、人员配备及相关要求</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w:t>
      </w:r>
      <w:r>
        <w:rPr>
          <w:rFonts w:hint="eastAsia" w:ascii="宋体" w:hAnsi="宋体" w:eastAsia="宋体" w:cs="宋体"/>
          <w:b/>
          <w:bCs/>
          <w:color w:val="auto"/>
          <w:sz w:val="24"/>
          <w:szCs w:val="20"/>
          <w:highlight w:val="none"/>
          <w:lang w:val="en-US" w:eastAsia="zh-CN"/>
        </w:rPr>
        <w:t xml:space="preserve">1</w:t>
      </w: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西环路校区</w:t>
      </w:r>
      <w:r>
        <w:rPr>
          <w:rFonts w:hint="eastAsia" w:ascii="宋体" w:hAnsi="宋体" w:eastAsia="宋体" w:cs="宋体"/>
          <w:b/>
          <w:bCs/>
          <w:color w:val="auto"/>
          <w:sz w:val="24"/>
          <w:szCs w:val="20"/>
          <w:highlight w:val="none"/>
          <w:lang w:val="zh-CN" w:eastAsia="zh-CN"/>
        </w:rPr>
        <w:t xml:space="preserve">岗位要求</w:t>
      </w:r>
      <w:r/>
    </w:p>
    <w:p>
      <w:pPr>
        <w:spacing w:line="31" w:lineRule="exact"/>
        <w:rPr>
          <w:highlight w:val="none"/>
        </w:rPr>
      </w:pPr>
      <w:r>
        <w:rPr>
          <w:highlight w:val="none"/>
        </w:rPr>
      </w:r>
      <w:r/>
    </w:p>
    <w:tbl>
      <w:tblPr>
        <w:tblStyle w:val="945"/>
        <w:tblW w:w="87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7"/>
        <w:gridCol w:w="1837"/>
        <w:gridCol w:w="2450"/>
        <w:gridCol w:w="2513"/>
      </w:tblGrid>
      <w:tr>
        <w:trPr>
          <w:jc w:val="center"/>
          <w:trHeight w:val="826"/>
        </w:trPr>
        <w:tc>
          <w:tcPr>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人员类别</w:t>
            </w:r>
            <w:r/>
          </w:p>
        </w:tc>
        <w:tc>
          <w:tcPr>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最低配置人数</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其他条件</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备注</w:t>
            </w:r>
            <w:r/>
          </w:p>
        </w:tc>
      </w:tr>
      <w:tr>
        <w:trPr>
          <w:jc w:val="center"/>
          <w:trHeight w:val="826"/>
        </w:trPr>
        <w:tc>
          <w:tcPr>
            <w:tcW w:w="191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项目经理</w:t>
            </w:r>
            <w:r/>
          </w:p>
        </w:tc>
        <w:tc>
          <w:tcPr>
            <w:tcW w:w="183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1人</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男性：55周岁以下</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保洁人员</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11</w:t>
            </w:r>
            <w:r>
              <w:rPr>
                <w:rFonts w:hint="eastAsia" w:asciiTheme="minorEastAsia" w:hAnsiTheme="minorEastAsia" w:eastAsiaTheme="minorEastAsia" w:cstheme="minorEastAsia"/>
                <w:color w:val="auto"/>
                <w:sz w:val="24"/>
                <w:szCs w:val="24"/>
                <w:highlight w:val="none"/>
                <w:lang w:val="en-US" w:eastAsia="zh-CN" w:bidi="ar"/>
              </w:rPr>
              <w:t xml:space="preserve">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男性：57周岁以下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宿舍管理员</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男2 人 女 2 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男性：57 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电工</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男性：55周岁以下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相关执业证书</w:t>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保健员</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男性：57 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相关执业证书</w:t>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合计</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18人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bl>
    <w:p>
      <w:pPr>
        <w:ind w:firstLine="480"/>
        <w:jc w:val="left"/>
        <w:spacing w:line="560" w:lineRule="exact"/>
        <w:shd w:val="clear" w:color="auto"/>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（2）蓝海路校区岗位要求：</w:t>
      </w:r>
      <w:r/>
    </w:p>
    <w:tbl>
      <w:tblPr>
        <w:tblStyle w:val="945"/>
        <w:tblW w:w="87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7"/>
        <w:gridCol w:w="1837"/>
        <w:gridCol w:w="2450"/>
        <w:gridCol w:w="2513"/>
      </w:tblGrid>
      <w:tr>
        <w:trPr>
          <w:jc w:val="center"/>
          <w:trHeight w:val="826"/>
        </w:trPr>
        <w:tc>
          <w:tcPr>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人员类别</w:t>
            </w:r>
            <w:r/>
          </w:p>
        </w:tc>
        <w:tc>
          <w:tcPr>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最低配置人数</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其他条件</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备注</w:t>
            </w:r>
            <w:r/>
          </w:p>
        </w:tc>
      </w:tr>
      <w:tr>
        <w:trPr>
          <w:jc w:val="center"/>
          <w:trHeight w:val="826"/>
        </w:trPr>
        <w:tc>
          <w:tcPr>
            <w:tcW w:w="191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项目经理</w:t>
            </w:r>
            <w:r/>
          </w:p>
        </w:tc>
        <w:tc>
          <w:tcPr>
            <w:tcW w:w="183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1人</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男性：55周岁以下</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保洁人员</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8</w:t>
            </w:r>
            <w:r>
              <w:rPr>
                <w:rFonts w:hint="eastAsia" w:asciiTheme="minorEastAsia" w:hAnsiTheme="minorEastAsia" w:eastAsiaTheme="minorEastAsia" w:cstheme="minorEastAsia"/>
                <w:color w:val="auto"/>
                <w:sz w:val="24"/>
                <w:szCs w:val="24"/>
                <w:highlight w:val="none"/>
                <w:lang w:val="en-US" w:eastAsia="zh-CN" w:bidi="ar"/>
              </w:rPr>
              <w:t xml:space="preserve">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男性：57周岁以下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908"/>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宿舍管理员</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男2 人 女 2 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男性：57 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电工</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男性：55周岁以下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相关执业证书</w:t>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合计</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14人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bl>
    <w:p>
      <w:pPr>
        <w:ind w:firstLine="482"/>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2、人员配备要求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原则：思想品质好 作风正派 无不良记录 精干 高效 专业 敬业 健康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以上所有人员均须有健康证，无重大疾病和传染病，不接受退休人员为本项目 项目组成员。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3、本项目配备人员不少于</w:t>
      </w:r>
      <w:r>
        <w:rPr>
          <w:rFonts w:hint="eastAsia" w:ascii="宋体" w:hAnsi="宋体" w:eastAsia="宋体" w:cs="宋体"/>
          <w:color w:val="auto"/>
          <w:sz w:val="24"/>
          <w:szCs w:val="20"/>
          <w:highlight w:val="none"/>
          <w:lang w:val="en-US" w:eastAsia="zh-CN"/>
        </w:rPr>
        <w:t xml:space="preserve">32</w:t>
      </w:r>
      <w:r>
        <w:rPr>
          <w:rFonts w:hint="eastAsia" w:ascii="宋体" w:hAnsi="宋体" w:eastAsia="宋体" w:cs="宋体"/>
          <w:color w:val="auto"/>
          <w:sz w:val="24"/>
          <w:szCs w:val="20"/>
          <w:highlight w:val="none"/>
          <w:lang w:val="zh-CN" w:eastAsia="zh-CN"/>
        </w:rPr>
        <w:t xml:space="preserve">人，人员必须用足，中标方需统筹安排满足甲方 工作要求，具体要求及范围按项目需求实施。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注:1.服务单位必须按照有关法律法规充分考虑加班费和员工福利，招标人不  再另外支付人员的其它任何费用。2.服务单位于合同签订之日起七日内所有服务人 员必须按要求持证上岗（包括所有服务人员领取健康证等），有一项不符合则视为 违约，甲方可终止合同，不予退还其履约保证</w:t>
      </w:r>
      <w:r>
        <w:rPr>
          <w:rFonts w:hint="eastAsia" w:ascii="宋体" w:hAnsi="宋体" w:eastAsia="宋体" w:cs="宋体"/>
          <w:color w:val="auto"/>
          <w:sz w:val="24"/>
          <w:szCs w:val="20"/>
          <w:highlight w:val="none"/>
          <w:lang w:val="zh-CN" w:eastAsia="zh-CN"/>
        </w:rPr>
        <w:t xml:space="preserve">金，乙方承担相应法律责任。3.各类 物业工作人员应参加相关的专业知识培训，中标服务单位必须对所录用人员严格审 查，保证录用人员没有刑事犯罪记录，持健康证及相应专业岗位资格证。招标人对 一些重要岗位的设置、人员录用与管理有审批权;中标物业单位所录用人员必须符  合国家相关的法律法规的要求（包括国家劳动法和地方相关管理规定），所有用工 人员录用后须到甲方备案，不得随意更换。4.由于各类活动、突击迎检、节假日期 间等因素导致的费用，不论这些因素是可预测或不可预测的，均已包含在投标报价 中。除甲方要求外，不作调整。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4、包括所有人员的工资、法定节假日加班费、社保、公积金、福利费，还应  包括：管理、劳务、培训、风险、税金、合理利润及政策性文件规定等各项应有费 用，以及为完成招标文件规定的物业服务工作所涉及到的一切相关费用。</w:t>
      </w:r>
      <w:r/>
    </w:p>
    <w:p>
      <w:pPr>
        <w:ind w:firstLine="480"/>
        <w:jc w:val="left"/>
        <w:spacing w:line="560" w:lineRule="exact"/>
        <w:shd w:val="clear" w:color="auto"/>
        <w:widowControl/>
        <w:rPr>
          <w:rFonts w:ascii="宋体" w:hAnsi="宋体" w:eastAsia="宋体" w:cs="宋体"/>
          <w:sz w:val="24"/>
          <w:szCs w:val="24"/>
          <w:highlight w:val="none"/>
          <w:lang w:eastAsia="zh-CN"/>
        </w:rPr>
      </w:pPr>
      <w:r>
        <w:rPr>
          <w:rFonts w:hint="eastAsia" w:ascii="宋体" w:hAnsi="宋体" w:eastAsia="宋体" w:cs="宋体"/>
          <w:color w:val="auto"/>
          <w:sz w:val="24"/>
          <w:szCs w:val="20"/>
          <w:highlight w:val="none"/>
          <w:lang w:val="zh-CN" w:eastAsia="zh-CN"/>
        </w:rPr>
        <w:t xml:space="preserve">各投标人自行根据招标人提供的服务内容、招标文件及答疑文件等资料要求， 并根据市场行情、结合自身公司实力、服务水平等因素，按要求进行报价。服务期 内，如政府出台文件对我市最低工资标准、社保费率或基数等进行调整，中标人应 按相关规定执行。</w:t>
      </w:r>
      <w:r/>
    </w:p>
    <w:p>
      <w:pPr>
        <w:ind w:firstLine="472"/>
        <w:jc w:val="both"/>
        <w:spacing w:line="520" w:lineRule="exact"/>
        <w:rPr>
          <w:rFonts w:ascii="宋体" w:hAnsi="宋体" w:eastAsia="宋体" w:cs="宋体"/>
          <w:sz w:val="24"/>
          <w:szCs w:val="24"/>
          <w:highlight w:val="none"/>
          <w:u w:val="none"/>
          <w:lang w:eastAsia="zh-CN"/>
        </w:rPr>
      </w:pPr>
      <w:r>
        <w:rPr>
          <w:rFonts w:hint="eastAsia" w:ascii="宋体" w:hAnsi="宋体" w:eastAsia="宋体" w:cs="宋体"/>
          <w:color w:val="auto"/>
          <w:sz w:val="24"/>
          <w:szCs w:val="20"/>
          <w:highlight w:val="none"/>
          <w:lang w:val="zh-CN" w:eastAsia="zh-CN"/>
        </w:rPr>
        <w:t xml:space="preserve">注：聘用人员需符合国家法定劳动年龄规定，无任何违法犯罪记录，身体健康， 持有健康体检证明，无重大疾病和传染病；上岗前须将人员情况报招标人审核，审  核通过后方可上岗，专业人员须持证上岗；</w:t>
      </w:r>
      <w:r>
        <w:rPr>
          <w:rFonts w:ascii="宋体" w:hAnsi="宋体" w:eastAsia="宋体" w:cs="宋体"/>
          <w:b/>
          <w:bCs/>
          <w:spacing w:val="-1"/>
          <w:sz w:val="24"/>
          <w:szCs w:val="24"/>
          <w:highlight w:val="none"/>
          <w:u w:val="none"/>
          <w:lang w:eastAsia="zh-CN"/>
        </w:rPr>
        <w:t xml:space="preserve">投标时无须提供本条规定</w:t>
      </w:r>
      <w:r>
        <w:rPr>
          <w:rFonts w:ascii="宋体" w:hAnsi="宋体" w:eastAsia="宋体" w:cs="宋体"/>
          <w:b/>
          <w:bCs/>
          <w:spacing w:val="-2"/>
          <w:sz w:val="24"/>
          <w:szCs w:val="24"/>
          <w:highlight w:val="none"/>
          <w:u w:val="none"/>
          <w:lang w:eastAsia="zh-CN"/>
        </w:rPr>
        <w:t xml:space="preserve">的以上人员相关证书及证明，中标单位在签订合同前将上述证书交由甲方核验。</w:t>
      </w:r>
      <w:r/>
    </w:p>
    <w:p>
      <w:pPr>
        <w:ind w:firstLine="472"/>
        <w:jc w:val="both"/>
        <w:spacing w:line="520" w:lineRule="exact"/>
        <w:rPr>
          <w:rFonts w:ascii="宋体" w:hAnsi="宋体" w:eastAsia="宋体" w:cs="宋体"/>
          <w:b/>
          <w:bCs/>
          <w:sz w:val="24"/>
          <w:szCs w:val="24"/>
          <w:highlight w:val="none"/>
          <w:lang w:eastAsia="zh-CN"/>
        </w:rPr>
      </w:pPr>
      <w:r>
        <w:rPr>
          <w:rFonts w:ascii="宋体" w:hAnsi="宋体" w:eastAsia="宋体" w:cs="宋体"/>
          <w:b/>
          <w:bCs/>
          <w:sz w:val="24"/>
          <w:szCs w:val="24"/>
          <w:highlight w:val="none"/>
          <w:lang w:eastAsia="zh-CN"/>
        </w:rPr>
        <w:t xml:space="preserve">六、项目管理服务方案</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投标人应根据采购需求和本项目实际，制订相应的服务方案至少包括以下内容：</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w:t>
      </w:r>
      <w:bookmarkStart w:id="180" w:name="OLE_LINK3"/>
      <w:r>
        <w:rPr>
          <w:rFonts w:hint="eastAsia" w:ascii="宋体" w:hAnsi="宋体" w:eastAsia="宋体" w:cs="宋体"/>
          <w:b/>
          <w:bCs/>
          <w:color w:val="auto"/>
          <w:sz w:val="24"/>
          <w:szCs w:val="20"/>
          <w:highlight w:val="none"/>
          <w:lang w:val="zh-CN" w:eastAsia="zh-CN"/>
        </w:rPr>
        <w:t xml:space="preserve">符合政策法规的整体设想及策划</w:t>
      </w:r>
      <w:bookmarkEnd w:id="180"/>
      <w:r/>
      <w:bookmarkStart w:id="181" w:name="OLE_LINK1"/>
      <w:r>
        <w:rPr>
          <w:rFonts w:hint="eastAsia" w:ascii="宋体" w:hAnsi="宋体" w:eastAsia="宋体" w:cs="宋体"/>
          <w:b/>
          <w:bCs/>
          <w:color w:val="auto"/>
          <w:sz w:val="24"/>
          <w:szCs w:val="20"/>
          <w:highlight w:val="none"/>
          <w:lang w:val="zh-CN" w:eastAsia="zh-CN"/>
        </w:rPr>
        <w:t xml:space="preserve">至少包括以下内容</w:t>
      </w:r>
      <w:bookmarkEnd w:id="181"/>
      <w:r>
        <w:rPr>
          <w:rFonts w:hint="eastAsia" w:ascii="宋体" w:hAnsi="宋体" w:eastAsia="宋体" w:cs="宋体"/>
          <w:b/>
          <w:bCs/>
          <w:color w:val="auto"/>
          <w:sz w:val="24"/>
          <w:szCs w:val="20"/>
          <w:highlight w:val="non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（1）校园安全是法规重中之重，需构建 “预防 - 响应 - 处置” 体系，校园安全</w:t>
      </w:r>
      <w:r>
        <w:rPr>
          <w:rFonts w:hint="eastAsia" w:ascii="宋体" w:hAnsi="宋体" w:eastAsia="宋体" w:cs="宋体"/>
          <w:color w:val="auto"/>
          <w:sz w:val="24"/>
          <w:szCs w:val="20"/>
          <w:highlight w:val="none"/>
          <w:lang w:val="en-US" w:eastAsia="zh-CN"/>
        </w:rPr>
        <w:t xml:space="preserve">管理需围绕 “预防为主、防治结合，全员参与、责任到人” 核心原则，构建覆盖 “人、物、环境、活动” 全场景的闭环体系，重点解决 “谁来管、管什么、怎么管、出问题怎么办” 四大核心问题，同时严格遵循《中小学幼儿园安全管理办法》《高等学校校园秩序管理若干规定》等法规要求。安全管理包括学生上下学高峰期管理、寄宿生管理、访客管理、重点人员关注等，做到校外人员及车辆（除本校教职工，学校发证确认准予出入，依法执行公务的车辆外）必须登记核实，在确保安全的前提下放行出入，在规定巡逻区，巡逻过程中疑点以及险情及时排查、上报。</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（2）环境卫生管理包括教学区深度保洁、公共区域精细化保洁、宿舍环境、绿化美化、设施设备运行维护、功能室管理等，做到</w:t>
      </w:r>
      <w:r>
        <w:rPr>
          <w:rFonts w:hint="eastAsia" w:ascii="宋体" w:hAnsi="宋体" w:eastAsia="宋体" w:cs="宋体"/>
          <w:color w:val="auto"/>
          <w:sz w:val="24"/>
          <w:szCs w:val="20"/>
          <w:highlight w:val="none"/>
          <w:lang w:val="zh-CN" w:eastAsia="zh-CN"/>
        </w:rPr>
        <w:t xml:space="preserve">打扫和保洁,及时、彻底、到位，配合绿化维保单位做好室外绿化养护及管理工作，</w:t>
      </w:r>
      <w:r>
        <w:rPr>
          <w:rFonts w:hint="eastAsia" w:ascii="宋体" w:hAnsi="宋体" w:eastAsia="宋体" w:cs="宋体"/>
          <w:color w:val="auto"/>
          <w:sz w:val="24"/>
          <w:szCs w:val="20"/>
          <w:highlight w:val="none"/>
          <w:lang w:val="en-US" w:eastAsia="zh-CN"/>
        </w:rPr>
        <w:t xml:space="preserve">定期对</w:t>
      </w:r>
      <w:r>
        <w:rPr>
          <w:rFonts w:hint="eastAsia" w:ascii="宋体" w:hAnsi="宋体" w:eastAsia="宋体" w:cs="宋体"/>
          <w:color w:val="auto"/>
          <w:sz w:val="24"/>
          <w:szCs w:val="20"/>
          <w:highlight w:val="none"/>
          <w:lang w:val="zh-CN" w:eastAsia="zh-CN"/>
        </w:rPr>
        <w:t xml:space="preserve">功能室进行卫生保洁、设备设施的检测维护与保养、水电设施的检查、门窗关锁的检查等。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（3）会议活动考试保障包括考场区域静音作业、环境深度清洁、运动会、艺术节、家长会、开学/毕业典礼的场地布置、设备保障、秩序维护、保洁支持等</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做到</w:t>
      </w:r>
      <w:r>
        <w:rPr>
          <w:rFonts w:hint="eastAsia" w:ascii="宋体" w:hAnsi="宋体" w:eastAsia="宋体" w:cs="宋体"/>
          <w:color w:val="auto"/>
          <w:sz w:val="24"/>
          <w:szCs w:val="20"/>
          <w:highlight w:val="none"/>
          <w:lang w:val="zh-CN" w:eastAsia="zh-CN"/>
        </w:rPr>
        <w:t xml:space="preserve">各类设备的开启、物品有序摆放、灯光开启、桌椅摆放整齐、卫生整洁等达到预期的使用和展示效果。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2.组织机构设置、人员配备、培训与管理方案至少包括以下内容：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（1）投标方应针对本项目实际运行状况及服务要求，拟定配备员工人数,投标方负责提供岗位人员配备清单及排班表等。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)所有员工必须经过政审、岗前培训</w:t>
      </w:r>
      <w:r>
        <w:rPr>
          <w:rFonts w:hint="eastAsia" w:ascii="宋体" w:hAnsi="宋体" w:eastAsia="宋体" w:cs="宋体"/>
          <w:color w:val="auto"/>
          <w:sz w:val="24"/>
          <w:szCs w:val="20"/>
          <w:highlight w:val="none"/>
          <w:lang w:val="en-US" w:eastAsia="zh-CN"/>
        </w:rPr>
        <w:t xml:space="preserve">同时提供健康证明</w:t>
      </w:r>
      <w:r>
        <w:rPr>
          <w:rFonts w:hint="eastAsia" w:ascii="宋体" w:hAnsi="宋体" w:eastAsia="宋体" w:cs="宋体"/>
          <w:color w:val="auto"/>
          <w:sz w:val="24"/>
          <w:szCs w:val="20"/>
          <w:highlight w:val="none"/>
          <w:lang w:val="zh-CN" w:eastAsia="zh-CN"/>
        </w:rPr>
        <w:t xml:space="preserve">，培训合格方能入职，物业员工需具有垃圾分类、节能环保等意识。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）投标人</w:t>
      </w:r>
      <w:r>
        <w:rPr>
          <w:rFonts w:hint="eastAsia" w:ascii="宋体" w:hAnsi="宋体" w:eastAsia="宋体" w:cs="宋体"/>
          <w:color w:val="auto"/>
          <w:sz w:val="24"/>
          <w:szCs w:val="20"/>
          <w:highlight w:val="none"/>
          <w:lang w:val="en-US" w:eastAsia="zh-CN"/>
        </w:rPr>
        <w:t xml:space="preserve">须有</w:t>
      </w:r>
      <w:r>
        <w:rPr>
          <w:rFonts w:hint="eastAsia" w:ascii="宋体" w:hAnsi="宋体" w:eastAsia="宋体" w:cs="宋体"/>
          <w:color w:val="auto"/>
          <w:sz w:val="24"/>
          <w:szCs w:val="20"/>
          <w:highlight w:val="none"/>
          <w:lang w:val="zh-CN" w:eastAsia="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岗位制度通用要求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岗前培训：新员工需完成岗位制度专项培训（不少于 4 小时），考核合格（如模拟访客登记、学生出入核验）方可上岗；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每日晨会：各岗位每日上岗前开 10 分钟晨会，重申制度重点（如 “今日需重点核查校外施工人员证件”），通报前日违规案例；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离岗交接：岗位人员换班需填写《岗位交接记录表》，注明 “未处理事项”（如 “某访客等待对接人确认”），避免工作断档。</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3.制度的建立方案至少包括以下内容：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为原则，先搭建制度框架明确权责，再聚焦突发场景制定应急预案，最后规范安全台账实现过程留痕，确保所有管理动作有章可循、有据可查。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（2）建立健全各项岗位管理制度，加强人员出入管理，严格执行出入管理制度。要实现 “岗位有规范、出入严管控”，需以 “岗位定责明权 + 出入流程闭环” 为核心，先搭建覆盖核心岗位的管理制度体系，再聚焦人员出入全场景制定刚性执行细则，确保制度落地、管控见效。</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zh-CN" w:eastAsia="zh-CN"/>
        </w:rPr>
        <w:t xml:space="preserve">细化人员出入管理细则：实现 “分人群、全流程、严管控”</w:t>
      </w:r>
      <w:r/>
    </w:p>
    <w:p>
      <w:pPr>
        <w:ind w:firstLine="480"/>
        <w:jc w:val="left"/>
        <w:spacing w:line="560" w:lineRule="exact"/>
        <w:shd w:val="clear" w:color="auto"/>
        <w:widowControl/>
        <w:rPr>
          <w:rFonts w:hint="default"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按 “学生、教职工、访客、特殊人员（施工 / 快递）” 四类人群分类管控，针对不同人群的出入特点制定刚性流程，同时配套硬件与记录保障，确保 “每一次出入都可追溯”。</w:t>
      </w:r>
      <w:r/>
    </w:p>
    <w:p>
      <w:pPr>
        <w:ind w:firstLine="480"/>
        <w:jc w:val="left"/>
        <w:spacing w:line="560" w:lineRule="exact"/>
        <w:shd w:val="clear" w:color="auto"/>
        <w:widowControl/>
        <w:rPr>
          <w:rFonts w:hint="default"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zh-CN" w:eastAsia="zh-CN"/>
        </w:rPr>
        <w:t xml:space="preserve">1. 分人群出入管理流程</w:t>
      </w:r>
      <w:r/>
    </w:p>
    <w:tbl>
      <w:tblPr>
        <w:tblStyle w:val="719"/>
        <w:tblW w:w="0" w:type="auto"/>
        <w:tblInd w:w="0"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372"/>
        <w:gridCol w:w="820"/>
        <w:gridCol w:w="4489"/>
        <w:gridCol w:w="2229"/>
      </w:tblGrid>
      <w:tr>
        <w:trPr>
          <w:tblHeader/>
        </w:trPr>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人员类型</w:t>
            </w:r>
            <w:r/>
          </w:p>
        </w:tc>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出入凭证</w:t>
            </w:r>
            <w:r/>
          </w:p>
        </w:tc>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管控流程</w:t>
            </w:r>
            <w:r/>
          </w:p>
        </w:tc>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特殊场景处理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学生</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校园卡</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1. 上学 / 放学时段：刷校园卡入校 / 出校，宿管 / 门岗核验卡面照片；2. 非上下学时段：需持班主任签字的《请假条》，登记事由 + 家长联系方式后方可出校。</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忘带卡：联系班主任确认身份，登记学号 + 班级，1 周内最多 1 次。</w:t>
            </w:r>
            <w:r/>
          </w:p>
        </w:tc>
      </w:tr>
      <w:tr>
        <w:trPr>
          <w:trHeight w:val="1601"/>
        </w:trPr>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教职工</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工作证 / 人脸识别</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1. 通勤时段：刷工作证或人脸识别入校，无需登记；2. 非通勤时段（如夜间加班）：需在门岗登记 “加班部门 + 离校时间”。</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工作证丢失：凭身份证核验，联系部门负责人确认，3 日内补办证件。</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访客（家长 / 外来人员）</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预约凭证 + 身份证</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1. 提前 1 天通过校园 APP / 电话预约，填写 “访客姓名 + 事由 + 对接人”；2. 入校时：出示身份证 + 预约凭证，门岗核验后发放临时访客证（标注有效期，最长 1 天）；3. 离校时：回收访客证，登记离校时间。</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临时访客（无预约）：需对接人到门岗确认，登记身份证信息，禁止单独入校。</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特殊人员（施工 / 快递）</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专项通行卡 + 身份证</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0" w:type="auto"/>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default" w:ascii="宋体" w:hAnsi="宋体" w:eastAsia="宋体" w:cs="宋体"/>
                <w:color w:val="auto"/>
                <w:sz w:val="24"/>
                <w:szCs w:val="20"/>
                <w:highlight w:val="none"/>
                <w:lang w:val="en-US" w:eastAsia="zh-CN"/>
              </w:rPr>
              <w:t xml:space="preserve">1. 施工人员：需提前提交《施工申请》，办理 “施工通行卡”（标注施工区域 + 有效期），入校时核验卡证；2. 快递人员：在校门外指定区域交接，禁止入校（特殊情况需对接人确认）。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r>
            <w:r/>
          </w:p>
        </w:tc>
      </w:tr>
    </w:tbl>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）建立健全人员使用政审和报告制度。</w:t>
      </w:r>
      <w:r>
        <w:rPr>
          <w:rFonts w:hint="eastAsia" w:ascii="宋体" w:hAnsi="宋体" w:eastAsia="宋体" w:cs="宋体"/>
          <w:color w:val="auto"/>
          <w:sz w:val="24"/>
          <w:szCs w:val="20"/>
          <w:highlight w:val="none"/>
          <w:lang w:val="en-US" w:eastAsia="zh-CN"/>
        </w:rPr>
        <w:t xml:space="preserve">至少包含</w:t>
      </w:r>
      <w:r>
        <w:rPr>
          <w:rFonts w:hint="eastAsia" w:ascii="宋体" w:hAnsi="宋体" w:eastAsia="宋体" w:cs="宋体"/>
          <w:color w:val="auto"/>
          <w:sz w:val="24"/>
          <w:szCs w:val="20"/>
          <w:highlight w:val="none"/>
          <w:lang w:val="zh-CN" w:eastAsia="zh-CN"/>
        </w:rPr>
        <w:t xml:space="preserve">员工招聘审查、培训办法，岗位职责、人员分工任务表等内部管理考核台账，资料健全</w:t>
      </w:r>
      <w:r>
        <w:rPr>
          <w:rFonts w:hint="eastAsia" w:ascii="宋体" w:hAnsi="宋体" w:eastAsia="宋体" w:cs="宋体"/>
          <w:color w:val="auto"/>
          <w:sz w:val="24"/>
          <w:szCs w:val="20"/>
          <w:highlight w:val="none"/>
          <w:lang w:val="en-US" w:eastAsia="zh-CN"/>
        </w:rPr>
        <w:t xml:space="preserve">等</w:t>
      </w:r>
      <w:r>
        <w:rPr>
          <w:rFonts w:hint="eastAsia" w:ascii="宋体" w:hAnsi="宋体" w:eastAsia="宋体" w:cs="宋体"/>
          <w:color w:val="auto"/>
          <w:sz w:val="24"/>
          <w:szCs w:val="20"/>
          <w:highlight w:val="non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按照 “谁用工、谁负责” 原则，物业企业作为政审责任主体，设立由人力资源部、安全管理部组成的政审工作组；校园甲方（学校）安全管理部门对政审过程进行监督复核，重点核查核心岗位政审结果。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（二）政审内容与标准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 通用审查内容（所有岗位）</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身份资质核查：确认年满 18 周岁、中国公民身份真实有效，学历、职业资格证书真实合规，无伪造或隐瞒情况。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违法犯罪记录审查：通过公安机关查询，确认无故意犯罪记录，无收容教育、强制隔离戒毒、3 次以上行政拘留等情形。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道德品行审查：通过原工作单位、社区居委会核实，无盗窃、诈骗、虐待等不良行为记录，无严重违反职业道德被辞退情况。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健康状况审查：提供有效期内健康证明，无影响岗位履职的传染病或精神疾病史，核心岗位额外进行心理健康排查。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 核心岗位专项审查内容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在通用审查基础上，增加以下内容：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政治素质审查：核查是否拥护中国共产党领导、遵守国家法律法规，无涉恐、涉邪教等不良关联记录。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社会关系审查：主要社会关系成员无危害国家安全或严重违法犯罪行为。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职业背景深度核查：近 3 年工作经历逐一核实，重点排查安全失职、信息泄露等职业污点。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 政审结果判定标准</w:t>
      </w:r>
      <w:r/>
    </w:p>
    <w:tbl>
      <w:tblPr>
        <w:tblStyle w:val="719"/>
        <w:tblW w:w="9591" w:type="dxa"/>
        <w:tblInd w:w="-167"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966"/>
        <w:gridCol w:w="5188"/>
        <w:gridCol w:w="3437"/>
      </w:tblGrid>
      <w:tr>
        <w:trPr>
          <w:trHeight w:val="660"/>
          <w:tblHeader/>
        </w:trPr>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spacing w:line="240" w:lineRule="auto"/>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等 级</w:t>
            </w:r>
            <w:r/>
          </w:p>
        </w:tc>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适用情形</w:t>
            </w:r>
            <w:r/>
          </w:p>
        </w:tc>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处理方式</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合格</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符合通用审查全部要求，核心岗位同时满足专项审查标准，无任何负面记录。</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准予录用，政审材料存档。</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暂缓录用</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存在轻微瑕疵（如非故意的行政处罚记录），经甲方同意且承诺整改。</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签订《安全履职承诺书》，试用期内跟踪考察。</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一票否决</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 有故意犯罪、性侵、虐待未成年人等前科；2. 提供虚假政审材料；3. 核心岗位政治素质不达标。</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坚决不予录用，记录入企业 “禁聘人员名录”。</w:t>
            </w:r>
            <w:r/>
          </w:p>
        </w:tc>
      </w:tr>
    </w:tbl>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（三）政审实施流程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 入职前政审流程（核心岗位 7 个工作日，一般岗位 3 个工作日）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申请受理：用人部门提交《物业人员政审申请表》，注明岗位类型、审查等级，附候选人简历与身份证复印件。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信息采集：候选人签署《政审授权书》，提交无犯罪记录证明（公安部门出具）、健康证明、学历 / 资格证原件及联系方式（原单位、社区）。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官方核查：通过公安系统验证无犯罪记录，登录职业资格网核实证书真伪；</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背景调查：核心岗位采取 “双人实地走访” 或第三方机构调查，一般岗位采取电话核实，记录《背景调查笔录》；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交叉验证：对比候选人自述信息与核查结果，发现矛盾立即暂停审查。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结果审批：政审工作组撰写《政审报告》，附核查凭证，核心岗位报甲方安全部门复核，审批通过后方可办理入职。</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 在职期复查流程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定期复查：核心岗位每年度复查 1 次，重点核查是否新增违法记录、岗位履职合规性，留存《在职政审复查表》；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动态核查：接到师生投诉、岗位调整等情况时，即时启动专项复查，排查潜在风险。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 离职后备案流程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员工离职时，同步更新《政审档案》，注明离职原因；</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对因违法违纪被辞退的人员，24 小时内完成《离职人员风险备案表》，报甲方安全部门留存。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三、物业人员政审报告制度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（一）报告主体与对象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报告主体：物业企业政审工作组，指定专人负责报告材料的汇总、报送与存档；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报告对象：校园甲方（学校）安全管理部门，重大情况同步报属地公安机关。</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（二）报告类型与内容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 事前报备（入职前）</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核心岗位候选人通过政审后，提交《物业核心岗位人员政审报备表》，内容包括：</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候选人基本信息（姓名、身份证号、岗位、联系方式）；</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政审结论（合格 / 暂缓录用）及关键依据（无犯罪记录证明编号、健康证明有效期）；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岗位适配说明（与《岗位安全要求》的匹配性）。报备表需附政审报告及核查凭证复印件，甲方复核通过后方可上岗。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 定期汇总报告（每月 / 每季度）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月度简报：每月 5 日前报送《物业人员政审月度汇总表》，统计当月新入职 / 离职人员政审情况、在职复查结果，注明 “无异常” 或具体问题；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季度报告：每季度末报送《政审工作季度分析报告》，梳理问题类型（如材料造假、新增违纪）、整改措施及下季度计划。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 应急动态报告（即时）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出现以下情形时，1 小时内口头报告、4 小时内提交书面报告：</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政审合格人员在职期间发生违法犯罪行为；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复查发现既往隐瞒的不良记录；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因政审疏漏导致安全隐患（如不合格人员上岗）；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其他可能影响校园安全的政审相关突发情况。报告需明确事件经过、处置措施、责任认定及整改方案。</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（三）报告流程与存档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报送规范：书面报告采用 A4 装订，加盖物业企业公章，电子档同步上传至甲方指定系统；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审核回执：甲方收到报告后，3 个工作日内出具《政审报告回执单》，注明 “已核实” 或 “需补充材料”；</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档案留存：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物业企业：建立 “一人一档”，政审材料与报告回执合并存档，留存期不少于离职后 3 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甲方部门：分类存放报备表、季度报告及应急报告，电子档备份不少于 5 年，确保可追溯。</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四、保障与监督机制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（一）培训与考核</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每月开展 1 次政审业务培训，覆盖法律法规、调查技巧、保密要求，考核不合格者不得参与政审工作；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将政审与报告工作质量纳入物业企业绩效考核，与服务费用挂钩。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（二）责任追究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候选人提供虚假材料的，立即辞退并列入禁聘名录，涉嫌违法的移交公安机关；</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政审人员存在 “漏查关键信息、泄露隐私、隐瞒问题” 等行为的，给予纪律处分，造成安全事故的追究法律责任；</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物业企业未按规定报告的，甲方有权扣除相应考核分数，限期整改仍不合格的终止服务合同。</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（三）保密管理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政审材料存储于加密档案柜，电子档设置访问权限，仅限政审工作组与甲方审核人员查看；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销毁过期材料需执行 “双人监销”，填写《档案销毁记录》，禁止随意丢弃含个人信息的文件。</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4.拟采取的管理服务模式方案至少包括以下内容：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（1）</w:t>
      </w:r>
      <w:bookmarkStart w:id="182" w:name="OLE_LINK2"/>
      <w:r>
        <w:rPr>
          <w:rFonts w:hint="eastAsia" w:ascii="宋体" w:hAnsi="宋体" w:eastAsia="宋体" w:cs="宋体"/>
          <w:color w:val="auto"/>
          <w:sz w:val="24"/>
          <w:szCs w:val="20"/>
          <w:highlight w:val="none"/>
          <w:lang w:val="en-US" w:eastAsia="zh-CN"/>
        </w:rPr>
        <w:t xml:space="preserve">安全管理体系</w:t>
      </w:r>
      <w:bookmarkEnd w:id="182"/>
      <w:r>
        <w:rPr>
          <w:rFonts w:hint="eastAsia" w:ascii="宋体" w:hAnsi="宋体" w:eastAsia="宋体" w:cs="宋体"/>
          <w:color w:val="auto"/>
          <w:sz w:val="24"/>
          <w:szCs w:val="20"/>
          <w:highlight w:val="none"/>
          <w:lang w:val="en-US" w:eastAsia="zh-CN"/>
        </w:rPr>
        <w:t xml:space="preserve">包括但不限于门禁与巡逻、消防与应急、设施安全管理、宿舍安保等，不得出现员工利用工作之便监守自盗的行为，加强宿舍内巡查，特别是夜间巡更点要有记录，达到有班前班后的准备和交接工作记录。每月开展安全隐患排查（消防通道、特种设备），建立 “隐患清单 - 整改时限 - 责任人” 台账；每学期组织 1 次消防演练与应急培训（含地震、踩踏等场景）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校园准入安全：守住 “第一道门”</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人员管理：实行 “封闭式管理”，上学期间校门关闭，校外人员需经 “预约登记→身份核验→联系对接人确认→佩戴访客证” 流程入校；家长接送需使用 “人脸识别” 或 “接送卡”，避免陌生人接走学生。</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物品管理：校门口设置 “违禁品检查岗”，禁止学生 / 校外人员携带刀具、易燃易爆品、管制器具入校；快递入校需先安检再分发。</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环境卫生管理包括但不限于教学区、公共区域、宿舍与绿化等，达到无脏杂物、无污迹，无异味。清洁保洁管理：核心防 “卫生死角、消毒缺记录”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核心考核导向：重点考核 “清洁频次、卫生达标率、垃圾分类合规率、消毒记录完整性”，需杜绝 “卫生间异味、垃圾满溢、消毒无记录” 等扣分项。</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区域职能划分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公共区域（走廊、楼梯、操场）：按 “每 2000㎡1 名保洁” 配置；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重点区域（食堂、卫生间、垃圾站）：专人专岗，每日高频清洁；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会务配套区域（会议室、礼堂）：保洁与会务服务联动，会前会后专项清洁。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具体管理措施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考核保障：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每日下班前，保洁组长对各区域进行 “自查评分”（按招标人考核标准打分，低于 90 分立即整改），留存自查记录。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季度考核前 1 周，对卫生死角（如楼梯转角、空调滤网、垃圾桶底部）进行 “深度清洁”，同步整理《消毒记录》（如卫生间每日消毒 2 次、食堂餐具每批次消毒），确保记录完整可查。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设施设备运维管理包括但不限于功能室的管理、季节性维护等，达到熟练掌握各功能室内电源、灯光设备、音响设备、大屏控制设备的使用方法，定期维护。</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特色管理模式包括但不限于考试保障、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zh-CN" w:eastAsia="zh-CN"/>
        </w:rPr>
        <w:t xml:space="preserve">5.适合本项目的各种突发事件的处理预案方案至少包括以下内容</w:t>
      </w:r>
      <w:r>
        <w:rPr>
          <w:rFonts w:hint="eastAsia" w:ascii="宋体" w:hAnsi="宋体" w:eastAsia="宋体" w:cs="宋体"/>
          <w:b/>
          <w:bCs/>
          <w:color w:val="auto"/>
          <w:sz w:val="24"/>
          <w:szCs w:val="20"/>
          <w:highlight w:val="none"/>
          <w:lang w:val="en-US"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校园活动与行为安全：防范 “人为风险”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活动审批：组织大型活动（运动会、春游、校外实践）需提前 3 天提交《安全方案》，明确安全负责人、应急措施。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治安事故应急预案、消防安全事故应急预案、自然灾害中的应急预案、重大节日及大型活动应急预案等，在突发事件发生时，能第一时间赶到现场，并井然有序地处理突发事件，在最大限度内控制事态的发展，同时按照突发事件信息上报流程报送学校相关部门。</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6.日常管理措施等包括以下内容：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1）安全保卫管理、公共设备设施管理、宿舍安全管理、清洁保洁管理、会务服务管理等，根据招标人《考核细则》综合量化考核， 针对性的制定区域职能管理措施，做到日常考核、季度考核、专项考核大于等于90分以上。</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一、整体管理框架：锚定 90 分目标的核心逻辑</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先明确 “考核指标拆解→区域责任到人→措施对标落地→过程动态纠偏” 的全流程逻辑，为各模块达标奠定基础：</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指标拆解：将招标人《考核细则》中各模块的扣分点（如 “巡逻漏岗一次扣 5 分”“设备故障未及时维修扣 3 分”）转化为 “禁止项” 和 “必做项”，确保措施精准规避扣分风险。</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区域定责：按校园物理区域（如教学区、宿舍区、行政楼、运动区）划分 “责任片区”，每个片区配备专职负责人（如 “宿舍 1-3 栋安全负责人”“行政楼保洁负责人”），避免管理盲区。</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分级管控：日常考核由片区负责人每日自查，季度考核由项目组提前 1 周模拟验收，专项考核（如消防专项、设备安全专项）提前 2 周开展专项整改，确保各类考核均有预案。</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二、分模块区域职能管理措施（对标≥90 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安全保卫管理：核心防 “漏岗、响应慢、记录缺”</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核心考核导向</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重点考核 “人员准入合规率、巡逻覆盖率、应急响应速度、台账完整性”，需杜绝 “校外人员违规入校、巡逻漏点、应急超时” 等扣分项。</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区域职能划分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教学区组：负责教学楼、实验楼、操场的准入管理与巡逻；</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宿舍区组：负责学生宿舍的夜间值守、违规物品排查；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行政与会务区组：负责行政楼、会议室的人员登记与活动安保。</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7.业绩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投标人需要具备丰富的物业服务相关承接经验，确保本项目的顺利实施，投标 人具有 2022 年</w:t>
      </w: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lang w:val="zh-CN" w:eastAsia="zh-CN"/>
        </w:rPr>
        <w:t xml:space="preserve">月</w:t>
      </w: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lang w:val="zh-CN" w:eastAsia="zh-CN"/>
        </w:rPr>
        <w:t xml:space="preserve">日以来承接过类似党政机关、事业单位、企业单位办公楼物业管理项目（不含住宅、工厂）</w:t>
      </w:r>
      <w:r>
        <w:rPr>
          <w:rFonts w:hint="eastAsia" w:ascii="宋体" w:hAnsi="宋体" w:eastAsia="宋体" w:cs="宋体"/>
          <w:color w:val="auto"/>
          <w:sz w:val="24"/>
          <w:szCs w:val="20"/>
          <w:highlight w:val="none"/>
          <w:lang w:val="en-US" w:eastAsia="zh-CN"/>
        </w:rPr>
        <w:t xml:space="preserve">的</w:t>
      </w:r>
      <w:r>
        <w:rPr>
          <w:rFonts w:hint="eastAsia" w:ascii="宋体" w:hAnsi="宋体" w:eastAsia="宋体" w:cs="宋体"/>
          <w:color w:val="auto"/>
          <w:sz w:val="24"/>
          <w:szCs w:val="20"/>
          <w:highlight w:val="none"/>
          <w:lang w:val="zh-CN" w:eastAsia="zh-CN"/>
        </w:rPr>
        <w:t xml:space="preserve">优先。</w:t>
      </w:r>
      <w:r/>
    </w:p>
    <w:p>
      <w:pPr>
        <w:ind w:firstLine="480"/>
        <w:jc w:val="left"/>
        <w:spacing w:line="560" w:lineRule="exact"/>
        <w:shd w:val="clear" w:color="auto"/>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8.资质信誉</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投标人需具备良好的质量管理体系规范日常管理与服务，积极保障员工健康和 安全，以保障本项目的顺利实施，具有国家认监委认可的机构颁发的有效期内的质 量管理体系认证证书、环境管理体系认证证书、职业安全健康管理体系认证证书的优先。</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9.管理人员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投标人应为本项目配备具有丰富物业管理经验的服务团队，服务团队包含项目</w:t>
      </w:r>
      <w:r>
        <w:rPr>
          <w:rFonts w:hint="eastAsia" w:ascii="宋体" w:hAnsi="宋体" w:eastAsia="宋体" w:cs="宋体"/>
          <w:color w:val="auto"/>
          <w:sz w:val="24"/>
          <w:szCs w:val="20"/>
          <w:highlight w:val="none"/>
          <w:lang w:val="en-US" w:eastAsia="zh-CN"/>
        </w:rPr>
        <w:t xml:space="preserve">经理</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保安员</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保洁人员</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宿舍管理员</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水电工、办公室文员、图书管理员、文印员、体育器具保管员</w:t>
      </w:r>
      <w:r>
        <w:rPr>
          <w:rFonts w:hint="eastAsia" w:ascii="宋体" w:hAnsi="宋体" w:eastAsia="宋体" w:cs="宋体"/>
          <w:color w:val="auto"/>
          <w:sz w:val="24"/>
          <w:szCs w:val="20"/>
          <w:highlight w:val="none"/>
          <w:lang w:val="zh-CN" w:eastAsia="zh-CN"/>
        </w:rPr>
        <w:t xml:space="preserve">，投标人提供人员相关证书及</w:t>
      </w:r>
      <w:r>
        <w:rPr>
          <w:rFonts w:hint="eastAsia" w:ascii="宋体" w:hAnsi="宋体" w:eastAsia="宋体" w:cs="宋体"/>
          <w:color w:val="auto"/>
          <w:sz w:val="24"/>
          <w:szCs w:val="20"/>
          <w:highlight w:val="none"/>
          <w:lang w:val="en-US" w:eastAsia="zh-CN"/>
        </w:rPr>
        <w:t xml:space="preserve">在公告前1个月在投标人单位缴纳社保的相关证明材料</w:t>
      </w:r>
      <w:r>
        <w:rPr>
          <w:rFonts w:hint="eastAsia" w:ascii="宋体" w:hAnsi="宋体" w:eastAsia="宋体" w:cs="宋体"/>
          <w:color w:val="auto"/>
          <w:sz w:val="24"/>
          <w:szCs w:val="20"/>
          <w:highlight w:val="none"/>
          <w:lang w:val="zh-CN" w:eastAsia="zh-CN"/>
        </w:rPr>
        <w:t xml:space="preserve">。以上人员未经采购人认可，不可随意更换：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项目经理具有专科及以上学历</w:t>
      </w:r>
      <w:r>
        <w:rPr>
          <w:rFonts w:hint="eastAsia" w:ascii="宋体" w:hAnsi="宋体" w:eastAsia="宋体" w:cs="宋体"/>
          <w:color w:val="auto"/>
          <w:sz w:val="24"/>
          <w:szCs w:val="20"/>
          <w:highlight w:val="none"/>
          <w:lang w:val="zh-CN" w:eastAsia="zh-CN"/>
        </w:rPr>
        <w:t xml:space="preserve">的优先；</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七、采购标的对应的中小企业划分标准所属行业一览表</w:t>
      </w:r>
      <w:r/>
    </w:p>
    <w:tbl>
      <w:tblPr>
        <w:tblStyle w:val="719"/>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029"/>
        <w:gridCol w:w="3722"/>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序号</w:t>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采购标的</w:t>
            </w:r>
            <w:r/>
          </w:p>
        </w:tc>
        <w:tc>
          <w:tcPr>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2025年盐城市第一中学物业管理服务项目</w:t>
            </w:r>
            <w:r/>
          </w:p>
        </w:tc>
        <w:tc>
          <w:tcPr>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物业管理</w:t>
            </w:r>
            <w:r/>
          </w:p>
        </w:tc>
      </w:tr>
    </w:tbl>
    <w:p>
      <w:pPr>
        <w:jc w:val="center"/>
        <w:shd w:val="clear" w:color="auto"/>
        <w:widowControl/>
        <w:rPr>
          <w:rFonts w:hint="eastAsia" w:ascii="黑体" w:hAnsi="宋体" w:eastAsia="黑体" w:cs="黑体"/>
          <w:color w:val="auto"/>
          <w:sz w:val="44"/>
          <w:szCs w:val="44"/>
          <w:highlight w:val="none"/>
        </w:rPr>
        <w:sectPr>
          <w:headerReference w:type="default" r:id="rId10"/>
          <w:footerReference w:type="default" r:id="rId11"/>
          <w:footnotePr/>
          <w:endnotePr/>
          <w:type w:val="nextPage"/>
          <w:pgSz w:w="11906" w:h="16838" w:orient="portrait"/>
          <w:pgMar w:top="1440" w:right="1633" w:bottom="1440" w:left="1633" w:header="851" w:footer="992" w:gutter="0"/>
          <w:pgNumType w:start="1"/>
          <w:cols w:num="1" w:sep="0" w:space="425" w:equalWidth="1"/>
          <w:docGrid w:linePitch="360"/>
        </w:sectPr>
        <w:outlineLvl w:val="0"/>
      </w:pPr>
      <w:r>
        <w:rPr>
          <w:rFonts w:hint="eastAsia" w:ascii="黑体" w:hAnsi="宋体" w:eastAsia="黑体" w:cs="黑体"/>
          <w:color w:val="auto"/>
          <w:sz w:val="44"/>
          <w:szCs w:val="44"/>
          <w:highlight w:val="none"/>
        </w:rPr>
      </w:r>
      <w:r/>
    </w:p>
    <w:p>
      <w:pPr>
        <w:jc w:val="center"/>
        <w:shd w:val="clear" w:color="auto"/>
        <w:widowControl/>
        <w:rPr>
          <w:color w:val="auto"/>
          <w:highlight w:val="none"/>
        </w:rPr>
        <w:outlineLvl w:val="0"/>
      </w:pPr>
      <w:r>
        <w:rPr>
          <w:rFonts w:hint="eastAsia" w:ascii="黑体" w:hAnsi="宋体" w:eastAsia="黑体" w:cs="黑体"/>
          <w:color w:val="auto"/>
          <w:sz w:val="44"/>
          <w:szCs w:val="44"/>
          <w:highlight w:val="none"/>
        </w:rPr>
        <w:t xml:space="preserve">第五章 评标方法与评标标准</w:t>
      </w:r>
      <w:r/>
    </w:p>
    <w:p>
      <w:pPr>
        <w:ind w:firstLine="480"/>
        <w:spacing w:line="240" w:lineRule="auto"/>
        <w:shd w:val="clear" w:color="auto"/>
        <w:widowControl/>
        <w:rPr>
          <w:rFonts w:hint="eastAsia"/>
          <w:b/>
          <w:bCs/>
          <w:color w:val="auto"/>
          <w:sz w:val="24"/>
          <w:szCs w:val="20"/>
          <w:highlight w:val="none"/>
        </w:rPr>
      </w:pPr>
      <w:r>
        <w:rPr>
          <w:rFonts w:hint="eastAsia"/>
          <w:b/>
          <w:bCs/>
          <w:color w:val="auto"/>
          <w:sz w:val="24"/>
          <w:szCs w:val="20"/>
          <w:highlight w:val="none"/>
        </w:rPr>
      </w:r>
      <w:r/>
    </w:p>
    <w:p>
      <w:pPr>
        <w:ind w:firstLine="480"/>
        <w:spacing w:line="240" w:lineRule="auto"/>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一、定标原则</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本项目采用</w:t>
      </w:r>
      <w:r>
        <w:rPr>
          <w:rFonts w:hint="eastAsia" w:ascii="宋体" w:hAnsi="宋体" w:eastAsia="宋体" w:cs="宋体"/>
          <w:color w:val="auto"/>
          <w:sz w:val="24"/>
          <w:szCs w:val="20"/>
          <w:highlight w:val="none"/>
          <w:u w:val="single"/>
          <w:lang w:val="en-US" w:eastAsia="zh-CN" w:bidi="ar-SA"/>
        </w:rPr>
        <w:t xml:space="preserve"> 综合评分</w:t>
      </w:r>
      <w:r>
        <w:rPr>
          <w:rFonts w:hint="eastAsia" w:ascii="宋体" w:hAnsi="宋体" w:eastAsia="宋体" w:cs="宋体"/>
          <w:color w:val="auto"/>
          <w:sz w:val="24"/>
          <w:szCs w:val="20"/>
          <w:highlight w:val="none"/>
          <w:lang w:val="en-US" w:eastAsia="zh-CN" w:bidi="ar-SA"/>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spacing w:line="560" w:lineRule="exact"/>
        <w:shd w:val="clear" w:color="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政府采购政策功能落实</w:t>
      </w:r>
      <w:r/>
    </w:p>
    <w:p>
      <w:pPr>
        <w:ind w:firstLine="480"/>
        <w:spacing w:line="560" w:lineRule="exact"/>
        <w:shd w:val="clear" w:color="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1、小微型企业价格扣除</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（1）本项目专门面向中小企业采购，不再对小型和微型企业报价给予价格扣除。</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（2）供应商需按照采购文件的要求提供相应的《中小企业声明函》。</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（3）企业标准请参照《关于印发中小企业划型标准规定的通知》（工信部联企业[2011]300号）文件规定自行填写。</w:t>
      </w:r>
      <w:r/>
    </w:p>
    <w:p>
      <w:pPr>
        <w:ind w:firstLine="480"/>
        <w:spacing w:line="560" w:lineRule="exact"/>
        <w:shd w:val="clear" w:color="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2、残疾人福利单位价格扣除</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（1）本项目对残疾人福利性单位视同小型、微型企业。</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（2）残疾人福利单位需按照采购文件的要求提供《残疾人福利性单位声明函》。</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（3）残疾人福利单位标准请参照《关于促进残疾人就业政府采购政策的通知》（财库〔2017〕141号）。</w:t>
      </w:r>
      <w:r/>
    </w:p>
    <w:p>
      <w:pPr>
        <w:ind w:firstLine="480"/>
        <w:spacing w:line="560" w:lineRule="exact"/>
        <w:shd w:val="clear" w:color="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3、监狱和戒毒企业价格扣除</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（1）本项目对监狱和戒毒企业（简称监狱企业）视同小型、微型企业。</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sectPr>
          <w:footnotePr/>
          <w:endnotePr/>
          <w:type w:val="nextPage"/>
          <w:pgSz w:w="11906" w:h="16838" w:orient="portrait"/>
          <w:pgMar w:top="1440" w:right="1633" w:bottom="1440" w:left="1633" w:header="851" w:footer="992" w:gutter="0"/>
          <w:cols w:num="1" w:sep="0" w:space="425" w:equalWidth="1"/>
          <w:docGrid w:linePitch="360"/>
        </w:sectPr>
      </w:pPr>
      <w:r>
        <w:rPr>
          <w:rFonts w:hint="eastAsia" w:ascii="宋体" w:hAnsi="宋体" w:eastAsia="宋体" w:cs="宋体"/>
          <w:color w:val="auto"/>
          <w:sz w:val="24"/>
          <w:szCs w:val="20"/>
          <w:highlight w:val="none"/>
          <w:lang w:val="en-US" w:eastAsia="zh-CN" w:bidi="ar-SA"/>
        </w:rPr>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（3）监狱企业标准请参照《关于政府采购支持监狱企业发展有关问题的通知》（财库[2014]68号）。</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4、残疾人福利单位、监狱企业属于小型、微型企业的，不重复享受政策。</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en-US" w:eastAsia="zh-CN" w:bidi="ar-SA"/>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rPr>
        <w:t xml:space="preserve">其他条件相同情况下，应当优先采购节能产品、环境标志产品。</w:t>
      </w:r>
      <w:r/>
    </w:p>
    <w:p>
      <w:pPr>
        <w:ind w:firstLine="480"/>
        <w:spacing w:line="52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二、评标方法与评标标准</w:t>
      </w:r>
      <w:r/>
    </w:p>
    <w:p>
      <w:pPr>
        <w:ind w:firstLine="480"/>
        <w:spacing w:line="520" w:lineRule="exact"/>
        <w:shd w:val="clear" w:color="auto"/>
        <w:widowControl/>
        <w:rPr>
          <w:i/>
          <w:iCs/>
          <w:color w:val="auto"/>
          <w:sz w:val="24"/>
          <w:highlight w:val="none"/>
        </w:rPr>
      </w:pPr>
      <w:r>
        <w:rPr>
          <w:rFonts w:hint="eastAsia" w:ascii="宋体" w:hAnsi="宋体" w:eastAsia="宋体" w:cs="宋体"/>
          <w:color w:val="auto"/>
          <w:sz w:val="24"/>
          <w:szCs w:val="20"/>
          <w:highlight w:val="none"/>
          <w:lang w:val="en-US" w:eastAsia="zh-CN"/>
        </w:rPr>
        <w:t xml:space="preserve">本项目评分总分值为100分。</w:t>
      </w:r>
      <w:r/>
    </w:p>
    <w:tbl>
      <w:tblPr>
        <w:tblStyle w:val="719"/>
        <w:tblW w:w="53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7735"/>
        <w:gridCol w:w="624"/>
      </w:tblGrid>
      <w:tr>
        <w:trPr>
          <w:jc w:val="center"/>
          <w:trHeight w:val="662"/>
        </w:trPr>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w:t>
            </w:r>
            <w:r/>
          </w:p>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1.采用低价优先法，即满足招标文件要求且投标价格最低的投标报价为评标基准价，其价格分为满分。</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2.其他投标人的价格分统一按下列公式计算：投标报价得分＝（评标基准价/投标报价）×50（小数点保留两位）</w:t>
            </w:r>
            <w:r/>
          </w:p>
        </w:tc>
        <w:tc>
          <w:tcPr>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50</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360" w:lineRule="auto"/>
              <w:widowControl/>
              <w:rPr>
                <w:rFonts w:hint="eastAsia" w:eastAsia="Arial" w:asciiTheme="minorHAnsi" w:hAnsiTheme="minorHAnsi" w:cstheme="minorBidi"/>
                <w:sz w:val="24"/>
                <w:szCs w:val="24"/>
                <w:highlight w:val="none"/>
                <w:lang w:val="en-US" w:eastAsia="zh-CN" w:bidi="ar-SA"/>
              </w:rPr>
            </w:pPr>
            <w:r>
              <w:rPr>
                <w:rFonts w:hint="eastAsia" w:eastAsia="Arial"/>
                <w:sz w:val="24"/>
                <w:highlight w:val="none"/>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投标人自2022年1月1日以来(以合同签订时间为准)承接过类似物业服务项目业绩的，每提供1个类似业绩得3分，本项最高得12分。</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类似业绩指类似党政机关、事业单位、企业单位物业管理项目（不含住宅、工厂等，业绩合同须包含保安、保洁服务内容）。投标人须提供合同扫描件并加盖投标人公章，合同中必须包含服务内容、合同签订时间等信息，否则不计分。同一业主或同一项目不重复计分。</w:t>
            </w:r>
            <w:r/>
          </w:p>
        </w:tc>
        <w:tc>
          <w:tcPr>
            <w:shd w:val="clear" w:color="auto" w:fill="auto"/>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widowControl/>
              <w:rPr>
                <w:rFonts w:hint="eastAsia" w:eastAsia="宋体" w:asciiTheme="minorHAnsi" w:hAnsiTheme="minorHAnsi" w:cstheme="minorBidi"/>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12</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资质</w:t>
            </w:r>
            <w:r/>
          </w:p>
          <w:p>
            <w:pPr>
              <w:jc w:val="center"/>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4"/>
                <w:highlight w:val="none"/>
                <w:lang w:val="en-US" w:eastAsia="zh-CN"/>
              </w:rPr>
              <w:t xml:space="preserve">信誉</w:t>
            </w:r>
            <w:r/>
          </w:p>
        </w:tc>
        <w:tc>
          <w:tcPr>
            <w:shd w:val="clear" w:color="auto" w:fill="auto"/>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1.取得有效期内且通过年检的质量管理体系认证证书得2分；</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2.取得有效期内且通过年检的环境管理体系认证证书得2分；</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3.取得有效期内且通过年检的职业健康安全管理体系认证证书得2分；</w:t>
            </w:r>
            <w:r/>
          </w:p>
          <w:p>
            <w:pPr>
              <w:ind w:firstLine="480"/>
              <w:spacing w:line="360" w:lineRule="auto"/>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1-3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shd w:val="clear" w:color="auto" w:fill="auto"/>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拟派</w:t>
            </w:r>
            <w:r/>
          </w:p>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w:t>
            </w:r>
            <w:r/>
          </w:p>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证书</w:t>
            </w:r>
            <w:r/>
          </w:p>
          <w:p>
            <w:pPr>
              <w:jc w:val="center"/>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Theme="minorEastAsia" w:hAnsiTheme="minorEastAsia" w:eastAsiaTheme="minorEastAsia" w:cstheme="minorEastAsia"/>
                <w:color w:val="auto"/>
                <w:sz w:val="24"/>
                <w:szCs w:val="24"/>
                <w:highlight w:val="none"/>
              </w:rPr>
              <w:t xml:space="preserve">情况</w:t>
            </w:r>
            <w:r/>
          </w:p>
        </w:tc>
        <w:tc>
          <w:tcPr>
            <w:shd w:val="clear" w:color="auto" w:fill="auto"/>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两个校区分别派驻的项目经理具有专科学历的得1分；具有本科及以上学历得2分，本项最高得4分。</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需提供学信网https://www.chsi.com.cn/查询截图。</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注：投标时须提供相关证书原件扫描件，以上人员必须为本单位正式职工，须提供开标近1个月在本单位缴纳养老保险证明材料，不提供或提供不全的不得分。</w:t>
            </w:r>
            <w:r/>
          </w:p>
        </w:tc>
        <w:tc>
          <w:tcPr>
            <w:shd w:val="clear" w:color="auto" w:fill="auto"/>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widowControl/>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w:t>
            </w:r>
            <w:r/>
          </w:p>
        </w:tc>
      </w:tr>
      <w:tr>
        <w:trPr>
          <w:jc w:val="center"/>
          <w:trHeight w:val="4565"/>
        </w:trPr>
        <w:tc>
          <w:tcPr>
            <w:tcBorders>
              <w:top w:val="single" w:color="auto" w:sz="4" w:space="0"/>
              <w:left w:val="single" w:color="auto" w:sz="4" w:space="0"/>
              <w:right w:val="single" w:color="auto" w:sz="4" w:space="0"/>
            </w:tcBorders>
            <w:tcW w:w="1087"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0"/>
                <w:highlight w:val="none"/>
                <w:lang w:val="en-US" w:eastAsia="zh-CN"/>
              </w:rPr>
              <w:t xml:space="preserve">服务  方案</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1.符合政策法规的整体设想及策划（6分）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投标人根据第四章第六条第一款中“符合政策法规的整体设想及策划”要求，至少包含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①安全管理；②环境卫生管理；③会议活动考试保障方案方案的科学性、合理性、操作性等进行综合评定。</w:t>
            </w:r>
            <w:r>
              <w:rPr>
                <w:rFonts w:hint="eastAsia" w:cs="Times New Roman"/>
                <w:sz w:val="24"/>
                <w:highlight w:val="white"/>
              </w:rPr>
              <w:t xml:space="preserve">优于项目需求得</w:t>
            </w:r>
            <w:r>
              <w:rPr>
                <w:rFonts w:hint="eastAsia" w:cs="Times New Roman"/>
                <w:sz w:val="24"/>
                <w:highlight w:val="white"/>
                <w:lang w:val="en-US" w:eastAsia="zh-CN"/>
              </w:rPr>
              <w:t xml:space="preserve">6</w:t>
            </w:r>
            <w:r>
              <w:rPr>
                <w:rFonts w:hint="eastAsia" w:cs="Times New Roman"/>
                <w:sz w:val="24"/>
                <w:highlight w:val="white"/>
              </w:rPr>
              <w:t xml:space="preserve">分，满足项目需求得</w:t>
            </w:r>
            <w:r>
              <w:rPr>
                <w:rFonts w:hint="eastAsia" w:cs="Times New Roman"/>
                <w:sz w:val="24"/>
                <w:highlight w:val="white"/>
                <w:lang w:val="en-US" w:eastAsia="zh-CN"/>
              </w:rPr>
              <w:t xml:space="preserve">5</w:t>
            </w:r>
            <w:r>
              <w:rPr>
                <w:rFonts w:hint="eastAsia" w:cs="Times New Roman"/>
                <w:sz w:val="24"/>
                <w:highlight w:val="white"/>
              </w:rPr>
              <w:t xml:space="preserve">分，不满足或不提供得0分</w:t>
            </w:r>
            <w:r>
              <w:rPr>
                <w:rFonts w:hint="eastAsia" w:cs="Times New Roman"/>
                <w:sz w:val="24"/>
                <w:highlight w:val="white"/>
                <w:lang w:eastAsia="zh-CN"/>
              </w:rPr>
              <w:t xml:space="preserve">。</w:t>
            </w:r>
            <w:r>
              <w:rPr>
                <w:rFonts w:hint="eastAsia" w:cs="Times New Roman"/>
                <w:sz w:val="24"/>
                <w:highlight w:val="white"/>
              </w:rPr>
              <w:t xml:space="preserve">  </w:t>
            </w:r>
            <w:r/>
          </w:p>
          <w:p>
            <w:pPr>
              <w:ind w:firstLine="480"/>
              <w:spacing w:line="360" w:lineRule="auto"/>
              <w:shd w:val="clear" w:color="auto"/>
              <w:widowControl/>
              <w:rPr>
                <w:rFonts w:hint="eastAsia" w:cs="Times New Roman"/>
                <w:sz w:val="24"/>
                <w:highlight w:val="white"/>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2.组织机构设置、人员配备、培训与管理（6分）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投标人根据本项目第四章第六条第二款中“组织机构设置、人员配备、培训与管理方案”要求，至少包含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①项目经理职责②员工配备、③员工培训方案。</w:t>
            </w:r>
            <w:r>
              <w:rPr>
                <w:rFonts w:hint="eastAsia" w:cs="Times New Roman"/>
                <w:sz w:val="24"/>
                <w:highlight w:val="white"/>
              </w:rPr>
              <w:t xml:space="preserve">优于项目需求得</w:t>
            </w:r>
            <w:r>
              <w:rPr>
                <w:rFonts w:hint="eastAsia" w:cs="Times New Roman"/>
                <w:sz w:val="24"/>
                <w:highlight w:val="white"/>
                <w:lang w:val="en-US" w:eastAsia="zh-CN"/>
              </w:rPr>
              <w:t xml:space="preserve">6</w:t>
            </w:r>
            <w:r>
              <w:rPr>
                <w:rFonts w:hint="eastAsia" w:cs="Times New Roman"/>
                <w:sz w:val="24"/>
                <w:highlight w:val="white"/>
              </w:rPr>
              <w:t xml:space="preserve">分，满足项目需求得</w:t>
            </w:r>
            <w:r>
              <w:rPr>
                <w:rFonts w:hint="eastAsia" w:cs="Times New Roman"/>
                <w:sz w:val="24"/>
                <w:highlight w:val="white"/>
                <w:lang w:val="en-US" w:eastAsia="zh-CN"/>
              </w:rPr>
              <w:t xml:space="preserve">5</w:t>
            </w:r>
            <w:r>
              <w:rPr>
                <w:rFonts w:hint="eastAsia" w:cs="Times New Roman"/>
                <w:sz w:val="24"/>
                <w:highlight w:val="white"/>
              </w:rPr>
              <w:t xml:space="preserve">分，不满足或不提供得0分  </w:t>
            </w:r>
            <w:r/>
          </w:p>
          <w:p>
            <w:pPr>
              <w:ind w:firstLine="480"/>
              <w:spacing w:line="360" w:lineRule="auto"/>
              <w:shd w:val="clear" w:color="auto"/>
              <w:widowControl/>
              <w:rPr>
                <w:rFonts w:hint="eastAsia" w:cs="Times New Roman"/>
                <w:sz w:val="24"/>
                <w:highlight w:val="white"/>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3.制度的建立（3分）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投标人根据本项目第四章第六条第三款中“制度的建立方案”要求至少包含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①管理制度；②岗位管理制度；③人员使用制度，</w:t>
            </w:r>
            <w:r>
              <w:rPr>
                <w:rFonts w:hint="eastAsia" w:cs="Times New Roman"/>
                <w:sz w:val="24"/>
                <w:highlight w:val="white"/>
              </w:rPr>
              <w:t xml:space="preserve">优于项目需求得</w:t>
            </w:r>
            <w:r>
              <w:rPr>
                <w:rFonts w:hint="eastAsia" w:cs="Times New Roman"/>
                <w:sz w:val="24"/>
                <w:highlight w:val="white"/>
                <w:lang w:val="en-US" w:eastAsia="zh-CN"/>
              </w:rPr>
              <w:t xml:space="preserve">3</w:t>
            </w:r>
            <w:r>
              <w:rPr>
                <w:rFonts w:hint="eastAsia" w:cs="Times New Roman"/>
                <w:sz w:val="24"/>
                <w:highlight w:val="white"/>
              </w:rPr>
              <w:t xml:space="preserve">分，满足项目需求得</w:t>
            </w:r>
            <w:r>
              <w:rPr>
                <w:rFonts w:hint="eastAsia" w:cs="Times New Roman"/>
                <w:sz w:val="24"/>
                <w:highlight w:val="white"/>
                <w:lang w:val="en-US" w:eastAsia="zh-CN"/>
              </w:rPr>
              <w:t xml:space="preserve">2</w:t>
            </w:r>
            <w:r>
              <w:rPr>
                <w:rFonts w:hint="eastAsia" w:cs="Times New Roman"/>
                <w:sz w:val="24"/>
                <w:highlight w:val="white"/>
              </w:rPr>
              <w:t xml:space="preserve">分，不满足或不提供得0分</w:t>
            </w:r>
            <w:r>
              <w:rPr>
                <w:rFonts w:hint="eastAsia" w:cs="Times New Roman"/>
                <w:sz w:val="24"/>
                <w:highlight w:val="white"/>
                <w:lang w:eastAsia="zh-CN"/>
              </w:rPr>
              <w:t xml:space="preserve">。</w:t>
            </w:r>
            <w:r>
              <w:rPr>
                <w:rFonts w:hint="eastAsia" w:cs="Times New Roman"/>
                <w:sz w:val="24"/>
                <w:highlight w:val="white"/>
              </w:rPr>
              <w:t xml:space="preserve">  </w:t>
            </w:r>
            <w:r/>
          </w:p>
          <w:p>
            <w:pPr>
              <w:ind w:firstLine="480"/>
              <w:spacing w:line="360" w:lineRule="auto"/>
              <w:shd w:val="clear" w:color="auto"/>
              <w:widowControl/>
              <w:rPr>
                <w:rFonts w:hint="eastAsia" w:cs="Times New Roman"/>
                <w:sz w:val="24"/>
                <w:highlight w:val="white"/>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4.拟采取的管理服务模式（4分）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投标人根据本项目第四章第六条第四款中“拟采取的管理服务模式方案”要求至少包含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①安全管理体系；②环境卫生管理③设施设备运维管理；④特色管理模式管理方案；</w:t>
            </w:r>
            <w:r>
              <w:rPr>
                <w:rFonts w:hint="eastAsia" w:cs="Times New Roman"/>
                <w:sz w:val="24"/>
                <w:highlight w:val="white"/>
              </w:rPr>
              <w:t xml:space="preserve">优于项目需求得</w:t>
            </w:r>
            <w:r>
              <w:rPr>
                <w:rFonts w:hint="eastAsia" w:cs="Times New Roman"/>
                <w:sz w:val="24"/>
                <w:highlight w:val="white"/>
                <w:lang w:val="en-US" w:eastAsia="zh-CN"/>
              </w:rPr>
              <w:t xml:space="preserve">4</w:t>
            </w:r>
            <w:r>
              <w:rPr>
                <w:rFonts w:hint="eastAsia" w:cs="Times New Roman"/>
                <w:sz w:val="24"/>
                <w:highlight w:val="white"/>
              </w:rPr>
              <w:t xml:space="preserve">分，满足项目需求得</w:t>
            </w:r>
            <w:r>
              <w:rPr>
                <w:rFonts w:hint="eastAsia" w:cs="Times New Roman"/>
                <w:sz w:val="24"/>
                <w:highlight w:val="white"/>
                <w:lang w:val="en-US" w:eastAsia="zh-CN"/>
              </w:rPr>
              <w:t xml:space="preserve">3</w:t>
            </w:r>
            <w:r>
              <w:rPr>
                <w:rFonts w:hint="eastAsia" w:cs="Times New Roman"/>
                <w:sz w:val="24"/>
                <w:highlight w:val="white"/>
              </w:rPr>
              <w:t xml:space="preserve">分，不满足或不提供得0分</w:t>
            </w:r>
            <w:r>
              <w:rPr>
                <w:rFonts w:hint="eastAsia" w:cs="Times New Roman"/>
                <w:sz w:val="24"/>
                <w:highlight w:val="white"/>
                <w:lang w:eastAsia="zh-CN"/>
              </w:rPr>
              <w:t xml:space="preserve">。</w:t>
            </w:r>
            <w:r>
              <w:rPr>
                <w:rFonts w:hint="eastAsia" w:cs="Times New Roman"/>
                <w:sz w:val="24"/>
                <w:highlight w:val="white"/>
              </w:rPr>
              <w:t xml:space="preserve">  </w:t>
            </w:r>
            <w:r/>
          </w:p>
          <w:p>
            <w:pPr>
              <w:ind w:firstLine="480"/>
              <w:spacing w:line="360" w:lineRule="auto"/>
              <w:shd w:val="clear" w:color="auto"/>
              <w:widowControl/>
              <w:rPr>
                <w:rFonts w:hint="eastAsia" w:cs="Times New Roman"/>
                <w:sz w:val="24"/>
                <w:highlight w:val="white"/>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5.适合本项目的各种突发事件的处理预案（4分）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投标人根据本项目第四章第六条第五款中“适合本项目的各种突发事件的处理预案方案”要求至少包含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①安事故应急预案；②消防安全事故应急预案；③自然灾害中的应急预案、④重大节日及大型活动应急预案。</w:t>
            </w:r>
            <w:r>
              <w:rPr>
                <w:rFonts w:hint="eastAsia" w:cs="Times New Roman"/>
                <w:sz w:val="24"/>
                <w:highlight w:val="white"/>
              </w:rPr>
              <w:t xml:space="preserve">优于项目需求得</w:t>
            </w:r>
            <w:r>
              <w:rPr>
                <w:rFonts w:hint="eastAsia" w:cs="Times New Roman"/>
                <w:sz w:val="24"/>
                <w:highlight w:val="white"/>
                <w:lang w:val="en-US" w:eastAsia="zh-CN"/>
              </w:rPr>
              <w:t xml:space="preserve">4</w:t>
            </w:r>
            <w:r>
              <w:rPr>
                <w:rFonts w:hint="eastAsia" w:cs="Times New Roman"/>
                <w:sz w:val="24"/>
                <w:highlight w:val="white"/>
              </w:rPr>
              <w:t xml:space="preserve">分，满足项目需求得</w:t>
            </w:r>
            <w:r>
              <w:rPr>
                <w:rFonts w:hint="eastAsia" w:cs="Times New Roman"/>
                <w:sz w:val="24"/>
                <w:highlight w:val="white"/>
                <w:lang w:val="en-US" w:eastAsia="zh-CN"/>
              </w:rPr>
              <w:t xml:space="preserve">3</w:t>
            </w:r>
            <w:r>
              <w:rPr>
                <w:rFonts w:hint="eastAsia" w:cs="Times New Roman"/>
                <w:sz w:val="24"/>
                <w:highlight w:val="white"/>
              </w:rPr>
              <w:t xml:space="preserve">分，不满足或不提供得0分</w:t>
            </w:r>
            <w:r>
              <w:rPr>
                <w:rFonts w:hint="eastAsia" w:cs="Times New Roman"/>
                <w:sz w:val="24"/>
                <w:highlight w:val="white"/>
                <w:lang w:eastAsia="zh-CN"/>
              </w:rPr>
              <w:t xml:space="preserve">。</w:t>
            </w:r>
            <w:r>
              <w:rPr>
                <w:rFonts w:hint="eastAsia" w:cs="Times New Roman"/>
                <w:sz w:val="24"/>
                <w:highlight w:val="white"/>
              </w:rPr>
              <w:t xml:space="preserve">  </w:t>
            </w:r>
            <w:r/>
          </w:p>
          <w:p>
            <w:pPr>
              <w:ind w:firstLine="480"/>
              <w:spacing w:line="360" w:lineRule="auto"/>
              <w:shd w:val="clear" w:color="auto"/>
              <w:widowControl/>
              <w:rPr>
                <w:rFonts w:hint="eastAsia" w:cs="Times New Roman"/>
                <w:sz w:val="24"/>
                <w:highlight w:val="white"/>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6.日常管理措施（5分）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投标人根据本项目第四章第六条第六款中“日常管理措施”要求至少包含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①安全保卫管理、②公共设备设施管理、③宿舍安全管理、④清洁保洁管理、⑤会务服务管理方案。</w:t>
            </w:r>
            <w:r>
              <w:rPr>
                <w:rFonts w:hint="eastAsia" w:cs="Times New Roman"/>
                <w:sz w:val="24"/>
                <w:highlight w:val="white"/>
              </w:rPr>
              <w:t xml:space="preserve">优于项目需求得</w:t>
            </w:r>
            <w:r>
              <w:rPr>
                <w:rFonts w:hint="eastAsia" w:cs="Times New Roman"/>
                <w:sz w:val="24"/>
                <w:highlight w:val="white"/>
                <w:lang w:val="en-US" w:eastAsia="zh-CN"/>
              </w:rPr>
              <w:t xml:space="preserve">5</w:t>
            </w:r>
            <w:r>
              <w:rPr>
                <w:rFonts w:hint="eastAsia" w:cs="Times New Roman"/>
                <w:sz w:val="24"/>
                <w:highlight w:val="white"/>
              </w:rPr>
              <w:t xml:space="preserve">分，满足项目需求得</w:t>
            </w:r>
            <w:r>
              <w:rPr>
                <w:rFonts w:hint="eastAsia" w:cs="Times New Roman"/>
                <w:sz w:val="24"/>
                <w:highlight w:val="white"/>
                <w:lang w:val="en-US" w:eastAsia="zh-CN"/>
              </w:rPr>
              <w:t xml:space="preserve">4</w:t>
            </w:r>
            <w:r>
              <w:rPr>
                <w:rFonts w:hint="eastAsia" w:cs="Times New Roman"/>
                <w:sz w:val="24"/>
                <w:highlight w:val="white"/>
              </w:rPr>
              <w:t xml:space="preserve">分，不满足或不提供得0分</w:t>
            </w:r>
            <w:r>
              <w:rPr>
                <w:rFonts w:hint="eastAsia" w:cs="Times New Roman"/>
                <w:sz w:val="24"/>
                <w:highlight w:val="white"/>
                <w:lang w:eastAsia="zh-CN"/>
              </w:rPr>
              <w:t xml:space="preserve">。</w:t>
            </w:r>
            <w:r>
              <w:rPr>
                <w:rFonts w:hint="eastAsia" w:cs="Times New Roman"/>
                <w:sz w:val="24"/>
                <w:highlight w:val="white"/>
              </w:rPr>
              <w:t xml:space="preserve">  </w:t>
            </w:r>
            <w:r/>
          </w:p>
          <w:p>
            <w:pPr>
              <w:ind w:firstLine="480"/>
              <w:spacing w:line="360" w:lineRule="auto"/>
              <w:shd w:val="clear" w:color="auto"/>
              <w:widowControl/>
              <w:rPr>
                <w:rFonts w:hint="default"/>
                <w:lang w:val="en-US" w:eastAsia="zh-CN"/>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left="0" w:firstLine="0"/>
              <w:jc w:val="center"/>
              <w:keepLines w:val="0"/>
              <w:keepNext w:val="0"/>
              <w:pageBreakBefore w:val="0"/>
              <w:spacing w:line="360" w:lineRule="auto"/>
              <w:shd w:val="clear" w:color="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28</w:t>
            </w:r>
            <w:r/>
          </w:p>
        </w:tc>
      </w:tr>
    </w:tbl>
    <w:p>
      <w:pPr>
        <w:ind w:firstLine="480"/>
        <w:spacing w:line="500" w:lineRule="exact"/>
        <w:shd w:val="clear" w:color="auto"/>
        <w:rPr>
          <w:rFonts w:ascii="宋体" w:hAnsi="宋体" w:eastAsia="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szCs w:val="36"/>
          <w:highlight w:val="none"/>
        </w:rPr>
        <w:br w:type="page" w:clear="all"/>
      </w:r>
      <w:r/>
    </w:p>
    <w:p>
      <w:pPr>
        <w:jc w:val="center"/>
        <w:shd w:val="clear" w:color="auto"/>
        <w:widowControl/>
        <w:rPr>
          <w:rFonts w:ascii="黑体" w:hAnsi="宋体" w:eastAsia="黑体" w:cs="黑体"/>
          <w:color w:val="auto"/>
          <w:sz w:val="44"/>
          <w:szCs w:val="44"/>
          <w:highlight w:val="none"/>
        </w:rPr>
        <w:outlineLvl w:val="0"/>
      </w:pPr>
      <w:r/>
      <w:bookmarkStart w:id="183" w:name="_Toc49090576"/>
      <w:r/>
      <w:bookmarkStart w:id="184" w:name="_Toc120614282"/>
      <w:r/>
      <w:r/>
    </w:p>
    <w:p>
      <w:pPr>
        <w:jc w:val="center"/>
        <w:shd w:val="clear" w:color="auto"/>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第六章 </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投标文件格式 </w:t>
      </w:r>
      <w:r/>
    </w:p>
    <w:p>
      <w:pPr>
        <w:jc w:val="center"/>
        <w:spacing w:line="360" w:lineRule="auto"/>
        <w:shd w:val="clear" w:color="auto"/>
        <w:rPr>
          <w:rFonts w:ascii="宋体" w:hAnsi="宋体"/>
          <w:b/>
          <w:color w:val="auto"/>
          <w:sz w:val="72"/>
          <w:highlight w:val="none"/>
        </w:rPr>
      </w:pPr>
      <w:r/>
      <w:bookmarkStart w:id="185" w:name="_Hlt26955039"/>
      <w:r/>
      <w:bookmarkEnd w:id="185"/>
      <w:r/>
      <w:bookmarkStart w:id="186" w:name="_Hlt26671244"/>
      <w:r/>
      <w:bookmarkEnd w:id="186"/>
      <w:r/>
      <w:r/>
    </w:p>
    <w:p>
      <w:pPr>
        <w:ind w:firstLine="0"/>
        <w:jc w:val="center"/>
        <w:spacing w:line="240" w:lineRule="auto"/>
        <w:shd w:val="clear" w:color="auto"/>
        <w:rPr>
          <w:rFonts w:ascii="Calibri" w:hAnsi="Calibri" w:cs="Times New Roman"/>
          <w:color w:val="auto"/>
          <w:sz w:val="24"/>
          <w:szCs w:val="24"/>
          <w:highlight w:val="none"/>
        </w:rPr>
      </w:pPr>
      <w:r>
        <w:rPr>
          <w:rFonts w:hint="eastAsia"/>
          <w:b/>
          <w:color w:val="auto"/>
          <w:sz w:val="72"/>
          <w:szCs w:val="72"/>
          <w:highlight w:val="none"/>
        </w:rPr>
        <w:t xml:space="preserve">投</w:t>
      </w:r>
      <w:r>
        <w:rPr>
          <w:rFonts w:hint="eastAsia"/>
          <w:b/>
          <w:color w:val="auto"/>
          <w:sz w:val="72"/>
          <w:szCs w:val="72"/>
          <w:highlight w:val="none"/>
          <w:lang w:val="en-US" w:eastAsia="zh-CN"/>
        </w:rPr>
        <w:t xml:space="preserve"> </w:t>
      </w:r>
      <w:r>
        <w:rPr>
          <w:rFonts w:hint="eastAsia"/>
          <w:b/>
          <w:color w:val="auto"/>
          <w:sz w:val="72"/>
          <w:szCs w:val="72"/>
          <w:highlight w:val="none"/>
        </w:rPr>
        <w:t xml:space="preserve"> 标 文 件</w:t>
      </w:r>
      <w:r/>
    </w:p>
    <w:p>
      <w:pPr>
        <w:pStyle w:val="932"/>
        <w:ind w:firstLine="723"/>
        <w:jc w:val="both"/>
        <w:spacing w:beforeAutospacing="0" w:afterAutospacing="0" w:line="360" w:lineRule="auto"/>
        <w:shd w:val="clear" w:color="auto"/>
        <w:rPr>
          <w:b/>
          <w:color w:val="auto"/>
          <w:sz w:val="36"/>
          <w:szCs w:val="36"/>
          <w:highlight w:val="none"/>
        </w:rPr>
      </w:pPr>
      <w:r>
        <w:rPr>
          <w:b/>
          <w:color w:val="auto"/>
          <w:sz w:val="36"/>
          <w:szCs w:val="36"/>
          <w:highlight w:val="none"/>
        </w:rPr>
      </w:r>
      <w:r/>
    </w:p>
    <w:p>
      <w:pPr>
        <w:pStyle w:val="932"/>
        <w:ind w:firstLine="723"/>
        <w:jc w:val="both"/>
        <w:spacing w:beforeAutospacing="0" w:afterAutospacing="0" w:line="360" w:lineRule="auto"/>
        <w:shd w:val="clear" w:color="auto"/>
        <w:rPr>
          <w:b/>
          <w:color w:val="auto"/>
          <w:sz w:val="36"/>
          <w:szCs w:val="36"/>
          <w:highlight w:val="none"/>
        </w:rPr>
      </w:pPr>
      <w:r>
        <w:rPr>
          <w:b/>
          <w:color w:val="auto"/>
          <w:sz w:val="36"/>
          <w:szCs w:val="36"/>
          <w:highlight w:val="none"/>
        </w:rPr>
      </w:r>
      <w:r/>
    </w:p>
    <w:p>
      <w:pPr>
        <w:pStyle w:val="932"/>
        <w:ind w:firstLine="723"/>
        <w:jc w:val="both"/>
        <w:spacing w:beforeAutospacing="0" w:afterAutospacing="0" w:line="360" w:lineRule="auto"/>
        <w:shd w:val="clear" w:color="auto"/>
        <w:rPr>
          <w:b/>
          <w:color w:val="auto"/>
          <w:sz w:val="36"/>
          <w:szCs w:val="36"/>
          <w:highlight w:val="none"/>
        </w:rPr>
      </w:pPr>
      <w:r>
        <w:rPr>
          <w:b/>
          <w:color w:val="auto"/>
          <w:sz w:val="36"/>
          <w:szCs w:val="36"/>
          <w:highlight w:val="none"/>
        </w:rPr>
      </w:r>
      <w:r/>
    </w:p>
    <w:p>
      <w:pPr>
        <w:pStyle w:val="932"/>
        <w:ind w:firstLine="723"/>
        <w:jc w:val="both"/>
        <w:spacing w:beforeAutospacing="0" w:afterAutospacing="0" w:line="360" w:lineRule="auto"/>
        <w:shd w:val="clear" w:color="auto"/>
        <w:rPr>
          <w:b/>
          <w:color w:val="auto"/>
          <w:sz w:val="36"/>
          <w:szCs w:val="36"/>
          <w:highlight w:val="none"/>
        </w:rPr>
      </w:pPr>
      <w:r>
        <w:rPr>
          <w:b/>
          <w:color w:val="auto"/>
          <w:sz w:val="36"/>
          <w:szCs w:val="36"/>
          <w:highlight w:val="none"/>
        </w:rPr>
      </w:r>
      <w:r/>
    </w:p>
    <w:p>
      <w:pPr>
        <w:pStyle w:val="932"/>
        <w:ind w:firstLine="1446"/>
        <w:jc w:val="both"/>
        <w:keepLines w:val="0"/>
        <w:keepNext w:val="0"/>
        <w:pageBreakBefore w:val="0"/>
        <w:spacing w:beforeAutospacing="0" w:afterAutospacing="0" w:line="560" w:lineRule="exact"/>
        <w:shd w:val="clear" w:color="auto"/>
        <w:widowControl/>
        <w:rPr>
          <w:color w:val="auto"/>
          <w:highlight w:val="none"/>
        </w:rPr>
      </w:pPr>
      <w:r>
        <w:rPr>
          <w:rFonts w:hint="eastAsia"/>
          <w:b/>
          <w:color w:val="auto"/>
          <w:sz w:val="36"/>
          <w:szCs w:val="36"/>
          <w:highlight w:val="none"/>
        </w:rPr>
        <w:t xml:space="preserve">项 目 名 称：</w:t>
      </w:r>
      <w:r>
        <w:rPr>
          <w:rFonts w:hint="eastAsia"/>
          <w:b/>
          <w:color w:val="auto"/>
          <w:sz w:val="36"/>
          <w:szCs w:val="36"/>
          <w:highlight w:val="none"/>
          <w:u w:val="single"/>
        </w:rPr>
        <w:t xml:space="preserve">                    </w:t>
      </w:r>
      <w:r/>
    </w:p>
    <w:p>
      <w:pPr>
        <w:pStyle w:val="932"/>
        <w:ind w:firstLine="1446"/>
        <w:jc w:val="both"/>
        <w:keepLines w:val="0"/>
        <w:keepNext w:val="0"/>
        <w:pageBreakBefore w:val="0"/>
        <w:spacing w:beforeAutospacing="0" w:afterAutospacing="0" w:line="560" w:lineRule="exact"/>
        <w:shd w:val="clear" w:color="auto"/>
        <w:widowControl/>
        <w:rPr>
          <w:b/>
          <w:color w:val="auto"/>
          <w:sz w:val="36"/>
          <w:szCs w:val="36"/>
          <w:highlight w:val="none"/>
          <w:u w:val="single"/>
        </w:rPr>
      </w:pPr>
      <w:r>
        <w:rPr>
          <w:rFonts w:hint="eastAsia"/>
          <w:b/>
          <w:color w:val="auto"/>
          <w:sz w:val="36"/>
          <w:szCs w:val="36"/>
          <w:highlight w:val="none"/>
        </w:rPr>
        <w:t xml:space="preserve">项 目 编 号：</w:t>
      </w:r>
      <w:r>
        <w:rPr>
          <w:rFonts w:hint="eastAsia"/>
          <w:b/>
          <w:color w:val="auto"/>
          <w:sz w:val="36"/>
          <w:szCs w:val="36"/>
          <w:highlight w:val="none"/>
          <w:u w:val="single"/>
        </w:rPr>
        <w:t xml:space="preserve">                    </w:t>
      </w:r>
      <w:r/>
    </w:p>
    <w:p>
      <w:pPr>
        <w:pStyle w:val="932"/>
        <w:ind w:firstLine="1446"/>
        <w:jc w:val="both"/>
        <w:keepLines w:val="0"/>
        <w:keepNext w:val="0"/>
        <w:pageBreakBefore w:val="0"/>
        <w:spacing w:beforeAutospacing="0" w:afterAutospacing="0" w:line="560" w:lineRule="exact"/>
        <w:shd w:val="clear" w:color="auto"/>
        <w:widowControl/>
        <w:rPr>
          <w:rFonts w:hint="eastAsia" w:eastAsiaTheme="minorEastAsia"/>
          <w:b/>
          <w:color w:val="auto"/>
          <w:sz w:val="36"/>
          <w:szCs w:val="36"/>
          <w:highlight w:val="none"/>
          <w:u w:val="single"/>
          <w:lang w:val="en-US" w:eastAsia="zh-CN"/>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 （加盖CA电子公章）</w:t>
      </w:r>
      <w:r>
        <w:rPr>
          <w:rFonts w:hint="eastAsia"/>
          <w:b/>
          <w:color w:val="auto"/>
          <w:sz w:val="36"/>
          <w:szCs w:val="36"/>
          <w:highlight w:val="none"/>
          <w:u w:val="single"/>
          <w:lang w:val="en-US" w:eastAsia="zh-CN"/>
        </w:rPr>
        <w:t xml:space="preserve"> </w:t>
      </w:r>
      <w:r/>
    </w:p>
    <w:p>
      <w:pPr>
        <w:pStyle w:val="932"/>
        <w:ind w:firstLine="1446"/>
        <w:jc w:val="both"/>
        <w:keepLines w:val="0"/>
        <w:keepNext w:val="0"/>
        <w:pageBreakBefore w:val="0"/>
        <w:spacing w:beforeAutospacing="0" w:afterAutospacing="0" w:line="560" w:lineRule="exact"/>
        <w:shd w:val="clear" w:color="auto"/>
        <w:widowControl/>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shd w:val="clear" w:color="000000"/>
        <w:rPr>
          <w:rFonts w:ascii="宋体" w:hAnsi="宋体"/>
          <w:b/>
          <w:bCs/>
          <w:color w:val="auto"/>
          <w:sz w:val="32"/>
          <w:szCs w:val="32"/>
          <w:highlight w:val="none"/>
        </w:rPr>
      </w:pPr>
      <w:r>
        <w:rPr>
          <w:rFonts w:ascii="宋体" w:hAnsi="宋体"/>
          <w:color w:val="auto"/>
          <w:sz w:val="24"/>
          <w:highlight w:val="none"/>
        </w:rPr>
        <w:br w:type="page" w:clear="all"/>
      </w:r>
      <w:r/>
    </w:p>
    <w:p>
      <w:pPr>
        <w:pStyle w:val="932"/>
        <w:jc w:val="center"/>
        <w:spacing w:beforeAutospacing="0" w:afterAutospacing="0" w:line="360" w:lineRule="auto"/>
        <w:shd w:val="clear" w:color="auto"/>
        <w:rPr>
          <w:color w:val="auto"/>
          <w:highlight w:val="none"/>
        </w:rPr>
        <w:outlineLvl w:val="1"/>
      </w:pPr>
      <w:r>
        <w:rPr>
          <w:rFonts w:hint="eastAsia"/>
          <w:b/>
          <w:bCs/>
          <w:color w:val="auto"/>
          <w:sz w:val="32"/>
          <w:szCs w:val="32"/>
          <w:highlight w:val="none"/>
        </w:rPr>
        <w:t xml:space="preserve">投标文件目录</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一、法人或者其他组织的营业执照等证明文件，自然人的身份证明</w:t>
      </w:r>
      <w:r/>
    </w:p>
    <w:p>
      <w:pPr>
        <w:ind w:firstLine="480"/>
        <w:jc w:val="left"/>
        <w:keepLines w:val="0"/>
        <w:keepNext w:val="0"/>
        <w:pageBreakBefore w:val="0"/>
        <w:spacing w:line="500" w:lineRule="exact"/>
        <w:shd w:val="clear" w:color="auto"/>
        <w:rPr>
          <w:color w:val="auto"/>
          <w:highlight w:val="none"/>
        </w:rPr>
      </w:pPr>
      <w:r>
        <w:rPr>
          <w:rFonts w:ascii="宋体" w:hAnsi="宋体" w:cs="宋体"/>
          <w:color w:val="auto"/>
          <w:sz w:val="24"/>
          <w:highlight w:val="none"/>
        </w:rPr>
        <w:t xml:space="preserve">二、上一年度的财务状况报</w:t>
      </w:r>
      <w:r>
        <w:rPr>
          <w:rFonts w:hint="eastAsia" w:ascii="宋体" w:hAnsi="宋体" w:cs="宋体"/>
          <w:color w:val="auto"/>
          <w:sz w:val="24"/>
          <w:highlight w:val="none"/>
          <w:lang w:val="en-US" w:eastAsia="zh-CN"/>
        </w:rPr>
        <w:t xml:space="preserve">告（至少提供资产负债表、利润表、现金流量表，供应商成立不满一年不需提供。）</w:t>
      </w:r>
      <w:r/>
    </w:p>
    <w:p>
      <w:pPr>
        <w:ind w:firstLine="480"/>
        <w:jc w:val="left"/>
        <w:keepLines w:val="0"/>
        <w:keepNext w:val="0"/>
        <w:pageBreakBefore w:val="0"/>
        <w:spacing w:line="500" w:lineRule="exact"/>
        <w:shd w:val="clear" w:color="auto"/>
        <w:rPr>
          <w:color w:val="auto"/>
          <w:highlight w:val="none"/>
        </w:rPr>
      </w:pPr>
      <w:r>
        <w:rPr>
          <w:rFonts w:ascii="宋体" w:hAnsi="宋体" w:cs="宋体"/>
          <w:color w:val="auto"/>
          <w:sz w:val="24"/>
          <w:highlight w:val="none"/>
        </w:rPr>
        <w:t xml:space="preserve">三、具备履行合同所必需的设备和专业技术能力的书面声明</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ascii="宋体" w:hAnsi="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五、参加政府采购活动前 3 年内在经营活动中没有重大违法记录的书面声明</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六、特定资格要求的证明文件（如果本项目设置特定资格要求，则需要提供）</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七、法人授权书</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八、投标函</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九、中小企业声明函</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十、残疾人福利性单位声明函</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十一、投标分项报价表</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十二、技术要求响应及偏离表</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十三、商务要求响应及偏离表</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十四、开标一览表</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十五、服务方案等</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十六、盐城市政府采购事前信用承诺书</w:t>
      </w:r>
      <w:r/>
    </w:p>
    <w:p>
      <w:pPr>
        <w:jc w:val="left"/>
        <w:keepLines w:val="0"/>
        <w:keepNext w:val="0"/>
        <w:pageBreakBefore w:val="0"/>
        <w:spacing w:line="500" w:lineRule="exact"/>
        <w:shd w:val="clear" w:color="auto"/>
        <w:widowControl/>
        <w:rPr>
          <w:rFonts w:ascii="黑体" w:hAnsi="宋体" w:eastAsia="黑体" w:cs="黑体"/>
          <w:i/>
          <w:color w:val="auto"/>
          <w:sz w:val="32"/>
          <w:szCs w:val="32"/>
          <w:highlight w:val="none"/>
        </w:rPr>
      </w:pPr>
      <w:r>
        <w:rPr>
          <w:rFonts w:ascii="黑体" w:hAnsi="宋体" w:eastAsia="黑体" w:cs="黑体"/>
          <w:i/>
          <w:color w:val="auto"/>
          <w:sz w:val="32"/>
          <w:szCs w:val="32"/>
          <w:highlight w:val="none"/>
        </w:rPr>
        <w:br w:type="page" w:clear="all"/>
      </w:r>
      <w:r/>
    </w:p>
    <w:p>
      <w:pPr>
        <w:pStyle w:val="932"/>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pStyle w:val="932"/>
        <w:ind w:firstLine="600"/>
        <w:jc w:val="both"/>
        <w:spacing w:beforeAutospacing="0" w:afterAutospacing="0" w:line="0" w:lineRule="atLeast"/>
        <w:shd w:val="clear" w:color="auto"/>
        <w:rPr>
          <w:rFonts w:ascii="黑体" w:hAnsi="黑体" w:eastAsia="黑体" w:cs="黑体"/>
          <w:i/>
          <w:color w:val="auto"/>
          <w:sz w:val="32"/>
          <w:szCs w:val="32"/>
          <w:highlight w:val="none"/>
        </w:rPr>
      </w:pPr>
      <w:r>
        <w:rPr>
          <w:color w:val="auto"/>
          <w:highlight w:val="none"/>
        </w:rPr>
        <w:t xml:space="preserve"> </w:t>
      </w:r>
      <w:r>
        <w:rPr>
          <w:rFonts w:ascii="黑体" w:hAnsi="黑体" w:eastAsia="黑体" w:cs="黑体"/>
          <w:i/>
          <w:color w:val="auto"/>
          <w:sz w:val="32"/>
          <w:szCs w:val="32"/>
          <w:highlight w:val="none"/>
        </w:rPr>
        <w:br w:type="page" w:clear="all"/>
      </w:r>
      <w:r/>
    </w:p>
    <w:p>
      <w:pPr>
        <w:pStyle w:val="932"/>
        <w:jc w:val="center"/>
        <w:spacing w:beforeAutospacing="0" w:afterAutospacing="0" w:line="500" w:lineRule="exact"/>
        <w:shd w:val="clear" w:color="auto"/>
        <w:rPr>
          <w:rFonts w:hint="eastAsia" w:ascii="黑体" w:hAnsi="黑体" w:eastAsia="黑体" w:cs="黑体"/>
          <w:i/>
          <w:color w:val="auto"/>
          <w:sz w:val="32"/>
          <w:szCs w:val="32"/>
          <w:highlight w:val="none"/>
          <w:u w:val="single"/>
          <w:lang w:eastAsia="zh-CN"/>
        </w:rPr>
        <w:outlineLvl w:val="1"/>
      </w:pPr>
      <w:r>
        <w:rPr>
          <w:rFonts w:hint="eastAsia" w:ascii="黑体" w:hAnsi="黑体" w:eastAsia="黑体" w:cs="黑体"/>
          <w:i/>
          <w:color w:val="auto"/>
          <w:sz w:val="32"/>
          <w:szCs w:val="32"/>
          <w:highlight w:val="none"/>
          <w:u w:val="single"/>
        </w:rPr>
        <w:t xml:space="preserve">二、上一年度的财务状况报</w:t>
      </w:r>
      <w:r>
        <w:rPr>
          <w:rFonts w:hint="eastAsia" w:ascii="黑体" w:hAnsi="黑体" w:eastAsia="黑体" w:cs="黑体"/>
          <w:i/>
          <w:color w:val="auto"/>
          <w:sz w:val="32"/>
          <w:szCs w:val="32"/>
          <w:highlight w:val="none"/>
          <w:u w:val="single"/>
          <w:lang w:val="en-US" w:eastAsia="zh-CN"/>
        </w:rPr>
        <w:t xml:space="preserve">告</w:t>
      </w:r>
      <w:r/>
    </w:p>
    <w:p>
      <w:pPr>
        <w:pStyle w:val="932"/>
        <w:jc w:val="center"/>
        <w:spacing w:beforeAutospacing="0" w:afterAutospacing="0" w:line="380" w:lineRule="exact"/>
        <w:shd w:val="clear" w:color="auto"/>
        <w:rPr>
          <w:color w:val="auto"/>
          <w:highlight w:val="none"/>
        </w:rPr>
      </w:pPr>
      <w:r>
        <w:rPr>
          <w:color w:val="auto"/>
          <w:highlight w:val="none"/>
        </w:rPr>
        <w:t xml:space="preserve">（至少提供资产负债表、利润表、现金流量表，供应商成立不满一年不需提供。）</w:t>
      </w:r>
      <w:r/>
    </w:p>
    <w:p>
      <w:pPr>
        <w:pStyle w:val="932"/>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p>
    <w:p>
      <w:pPr>
        <w:pStyle w:val="932"/>
        <w:jc w:val="center"/>
        <w:spacing w:beforeAutospacing="0" w:afterAutospacing="0" w:line="500" w:lineRule="exact"/>
        <w:shd w:val="clear" w:color="auto"/>
        <w:rPr>
          <w:color w:val="auto"/>
          <w:highlight w:val="none"/>
        </w:rPr>
        <w:outlineLvl w:val="1"/>
      </w:pPr>
      <w:r>
        <w:rPr>
          <w:rFonts w:cs="黑体"/>
          <w:i/>
          <w:color w:val="auto"/>
          <w:sz w:val="32"/>
          <w:szCs w:val="32"/>
          <w:highlight w:val="none"/>
          <w:u w:val="single"/>
        </w:rPr>
        <w:t xml:space="preserve">三</w:t>
      </w:r>
      <w:r>
        <w:rPr>
          <w:rFonts w:hint="eastAsia" w:ascii="黑体" w:hAnsi="黑体" w:eastAsia="黑体" w:cs="黑体"/>
          <w:i/>
          <w:color w:val="auto"/>
          <w:sz w:val="32"/>
          <w:szCs w:val="32"/>
          <w:highlight w:val="none"/>
          <w:u w:val="single"/>
        </w:rPr>
        <w:t xml:space="preserve">、具备履行合同所必需的设备和专业技术能力的书面声明</w:t>
      </w:r>
      <w:r/>
    </w:p>
    <w:p>
      <w:pPr>
        <w:pStyle w:val="932"/>
        <w:ind w:firstLine="480"/>
        <w:jc w:val="both"/>
        <w:spacing w:beforeAutospacing="0" w:afterAutospacing="0" w:line="500" w:lineRule="exact"/>
        <w:shd w:val="clear" w:color="auto"/>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32"/>
        <w:ind w:firstLine="480"/>
        <w:jc w:val="both"/>
        <w:spacing w:beforeAutospacing="0" w:afterAutospacing="0" w:line="500" w:lineRule="exact"/>
        <w:shd w:val="clear" w:color="auto"/>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932"/>
        <w:ind w:firstLine="480"/>
        <w:jc w:val="both"/>
        <w:spacing w:beforeAutospacing="0" w:afterAutospacing="0" w:line="500" w:lineRule="exact"/>
        <w:shd w:val="clear" w:color="auto"/>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932"/>
        <w:jc w:val="both"/>
        <w:spacing w:beforeAutospacing="0" w:afterAutospacing="0" w:line="500" w:lineRule="exact"/>
        <w:shd w:val="clear" w:color="auto"/>
        <w:rPr>
          <w:rFonts w:ascii="黑体" w:hAnsi="黑体" w:eastAsia="黑体" w:cs="黑体"/>
          <w:bCs/>
          <w:i/>
          <w:color w:val="auto"/>
          <w:sz w:val="32"/>
          <w:szCs w:val="32"/>
          <w:highlight w:val="none"/>
          <w:u w:val="single"/>
        </w:rPr>
      </w:pPr>
      <w:r>
        <w:rPr>
          <w:rFonts w:ascii="黑体" w:hAnsi="黑体" w:eastAsia="黑体" w:cs="黑体"/>
          <w:bCs/>
          <w:i/>
          <w:color w:val="auto"/>
          <w:sz w:val="32"/>
          <w:szCs w:val="32"/>
          <w:highlight w:val="none"/>
          <w:u w:val="singl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pStyle w:val="932"/>
        <w:jc w:val="center"/>
        <w:spacing w:beforeAutospacing="0" w:afterAutospacing="0" w:line="500" w:lineRule="exact"/>
        <w:shd w:val="clear" w:color="auto"/>
        <w:rPr>
          <w:color w:val="auto"/>
          <w:highlight w:val="none"/>
        </w:rPr>
        <w:outlineLvl w:val="1"/>
      </w:pPr>
      <w:r>
        <w:rPr>
          <w:rFonts w:hint="eastAsia" w:ascii="黑体" w:hAnsi="黑体" w:eastAsia="黑体" w:cs="黑体"/>
          <w:i/>
          <w:color w:val="auto"/>
          <w:sz w:val="32"/>
          <w:szCs w:val="32"/>
          <w:highlight w:val="none"/>
          <w:u w:val="single"/>
        </w:rPr>
        <w:t xml:space="preserve">四、依法缴纳税收和社会保障资金的相关材料</w:t>
      </w:r>
      <w:r/>
    </w:p>
    <w:p>
      <w:pPr>
        <w:pStyle w:val="932"/>
        <w:jc w:val="center"/>
        <w:spacing w:beforeAutospacing="0" w:afterAutospacing="0" w:line="440" w:lineRule="exact"/>
        <w:shd w:val="clear" w:color="auto"/>
        <w:rPr>
          <w:rFonts w:ascii="黑体" w:hAnsi="黑体" w:eastAsia="黑体" w:cs="黑体"/>
          <w:i/>
          <w:color w:val="auto"/>
          <w:highlight w:val="none"/>
        </w:rPr>
      </w:pPr>
      <w:r>
        <w:rPr>
          <w:color w:val="auto"/>
          <w:highlight w:val="none"/>
        </w:rPr>
        <w:t xml:space="preserve"> </w:t>
      </w:r>
      <w:r>
        <w:rPr>
          <w:rFonts w:hint="eastAsia" w:eastAsia="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932"/>
        <w:ind w:firstLine="480"/>
        <w:jc w:val="both"/>
        <w:spacing w:beforeAutospacing="0" w:afterAutospacing="0" w:line="500" w:lineRule="exact"/>
        <w:shd w:val="clear" w:color="auto"/>
        <w:rPr>
          <w:color w:val="auto"/>
          <w:highlight w:val="none"/>
        </w:rPr>
      </w:pPr>
      <w:r>
        <w:rPr>
          <w:color w:val="auto"/>
          <w:highlight w:val="none"/>
        </w:rPr>
      </w:r>
      <w:r/>
    </w:p>
    <w:p>
      <w:pPr>
        <w:pStyle w:val="932"/>
        <w:ind w:firstLine="480"/>
        <w:jc w:val="both"/>
        <w:spacing w:beforeAutospacing="0" w:afterAutospacing="0" w:line="0" w:lineRule="atLeast"/>
        <w:shd w:val="clear" w:color="auto"/>
        <w:rPr>
          <w:color w:val="auto"/>
          <w:highlight w:val="none"/>
        </w:rPr>
      </w:pPr>
      <w:r>
        <w:rPr>
          <w:rFonts w:hint="eastAsia"/>
          <w:color w:val="auto"/>
          <w:highlight w:val="none"/>
        </w:rPr>
        <w:t xml:space="preserve">                                     </w:t>
      </w:r>
      <w:r/>
    </w:p>
    <w:p>
      <w:pPr>
        <w:pStyle w:val="932"/>
        <w:ind w:firstLine="600"/>
        <w:jc w:val="both"/>
        <w:spacing w:beforeAutospacing="0" w:afterAutospacing="0"/>
        <w:shd w:val="clear" w:color="auto"/>
        <w:rPr>
          <w:color w:val="auto"/>
          <w:highlight w:val="none"/>
        </w:rPr>
      </w:pPr>
      <w:r>
        <w:rPr>
          <w:color w:val="auto"/>
          <w:highlight w:val="none"/>
        </w:rPr>
        <w:t xml:space="preserve"> </w:t>
      </w:r>
      <w:r/>
    </w:p>
    <w:p>
      <w:pPr>
        <w:pStyle w:val="932"/>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五、参加政府采购活动前 3 年内在经营活动中没有重大违法记录的书面声明</w:t>
      </w:r>
      <w:r/>
    </w:p>
    <w:p>
      <w:pPr>
        <w:pStyle w:val="932"/>
        <w:ind w:firstLine="3618"/>
        <w:jc w:val="both"/>
        <w:spacing w:beforeAutospacing="0" w:afterAutospacing="0" w:line="500" w:lineRule="exact"/>
        <w:shd w:val="clear" w:color="auto"/>
        <w:rPr>
          <w:color w:val="auto"/>
          <w:highlight w:val="none"/>
        </w:rPr>
      </w:pPr>
      <w:r>
        <w:rPr>
          <w:rFonts w:hint="eastAsia"/>
          <w:b/>
          <w:color w:val="auto"/>
          <w:sz w:val="44"/>
          <w:szCs w:val="44"/>
          <w:highlight w:val="none"/>
        </w:rPr>
        <w:t xml:space="preserve">声  明</w:t>
      </w:r>
      <w:r/>
    </w:p>
    <w:p>
      <w:pPr>
        <w:pStyle w:val="932"/>
        <w:ind w:firstLine="482"/>
        <w:jc w:val="both"/>
        <w:spacing w:beforeAutospacing="0" w:afterAutospacing="0" w:line="500" w:lineRule="exact"/>
        <w:shd w:val="clear" w:color="auto"/>
        <w:rPr>
          <w:color w:val="auto"/>
          <w:highlight w:val="none"/>
        </w:rPr>
      </w:pP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32"/>
        <w:ind w:firstLine="600"/>
        <w:jc w:val="both"/>
        <w:spacing w:beforeAutospacing="0" w:afterAutospacing="0" w:line="500" w:lineRule="exact"/>
        <w:shd w:val="clear" w:color="auto"/>
        <w:rPr>
          <w:color w:val="auto"/>
          <w:highlight w:val="none"/>
        </w:rPr>
      </w:pPr>
      <w:r>
        <w:rPr>
          <w:color w:val="auto"/>
          <w:highlight w:val="none"/>
        </w:rPr>
        <w:t xml:space="preserve"> </w:t>
      </w:r>
      <w:r/>
    </w:p>
    <w:p>
      <w:pPr>
        <w:pStyle w:val="932"/>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六、特定资格要求的证明文件</w:t>
      </w:r>
      <w:r/>
    </w:p>
    <w:p>
      <w:pPr>
        <w:pStyle w:val="932"/>
        <w:ind w:firstLine="480"/>
        <w:jc w:val="center"/>
        <w:spacing w:beforeAutospacing="0" w:afterAutospacing="0" w:line="500" w:lineRule="exact"/>
        <w:shd w:val="clear" w:color="auto"/>
        <w:rPr>
          <w:color w:val="auto"/>
          <w:highlight w:val="none"/>
        </w:rPr>
      </w:pPr>
      <w:r>
        <w:rPr>
          <w:rFonts w:hint="eastAsia"/>
          <w:color w:val="auto"/>
          <w:highlight w:val="none"/>
        </w:rPr>
        <w:t xml:space="preserve">如果本项目申请人的特定资格要求中要求提供的，必须提供。</w:t>
      </w:r>
      <w:r/>
    </w:p>
    <w:p>
      <w:pPr>
        <w:pStyle w:val="932"/>
        <w:ind w:firstLine="600"/>
        <w:jc w:val="both"/>
        <w:spacing w:beforeAutospacing="0" w:afterAutospacing="0" w:line="0" w:lineRule="atLeast"/>
        <w:shd w:val="clear" w:color="auto"/>
        <w:rPr>
          <w:color w:val="auto"/>
          <w:highlight w:val="none"/>
        </w:rPr>
      </w:pPr>
      <w:r>
        <w:rPr>
          <w:color w:val="auto"/>
          <w:highlight w:val="none"/>
        </w:rPr>
        <w:t xml:space="preserve"> </w:t>
      </w:r>
      <w:r/>
    </w:p>
    <w:p>
      <w:pPr>
        <w:pStyle w:val="932"/>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七、法人授权书</w:t>
      </w:r>
      <w:r/>
    </w:p>
    <w:p>
      <w:pPr>
        <w:pStyle w:val="932"/>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本授权书声明：____________（投标人名称）授权________________（被授权人的姓名）为我方就</w:t>
      </w:r>
      <w:r>
        <w:rPr>
          <w:rFonts w:hint="eastAsia"/>
          <w:color w:val="auto"/>
          <w:highlight w:val="none"/>
          <w:u w:val="single"/>
        </w:rPr>
        <w:t xml:space="preserve"> </w:t>
      </w:r>
      <w:r>
        <w:rPr>
          <w:color w:val="auto"/>
          <w:highlight w:val="none"/>
        </w:rPr>
        <w:t xml:space="preserve">号</w:t>
      </w:r>
      <w:r>
        <w:rPr>
          <w:rFonts w:hint="eastAsia"/>
          <w:highlight w:val="none"/>
          <w:u w:val="single"/>
          <w:lang w:eastAsia="zh-CN"/>
        </w:rPr>
        <w:t xml:space="preserve">2025年盐城市第一中学物业管理服务项目</w:t>
      </w:r>
      <w:r>
        <w:rPr>
          <w:color w:val="auto"/>
          <w:highlight w:val="none"/>
        </w:rPr>
        <w:t xml:space="preserve">采购活动的合法代理人，以本单位名义全权处理一切与该项目采购有关的事务。</w:t>
      </w:r>
      <w:r/>
    </w:p>
    <w:p>
      <w:pPr>
        <w:pStyle w:val="932"/>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本授权书于______年____月____日起生效，特此声明。</w:t>
      </w:r>
      <w:r/>
    </w:p>
    <w:p>
      <w:pPr>
        <w:pStyle w:val="932"/>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被授权人身份证号码：</w:t>
      </w:r>
      <w:r>
        <w:rPr>
          <w:color w:val="auto"/>
          <w:highlight w:val="none"/>
          <w:u w:val="single"/>
        </w:rPr>
        <w:t xml:space="preserve">                   </w:t>
      </w:r>
      <w:r/>
    </w:p>
    <w:p>
      <w:pPr>
        <w:pStyle w:val="932"/>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被授权人联系电话：</w:t>
      </w:r>
      <w:r>
        <w:rPr>
          <w:color w:val="auto"/>
          <w:highlight w:val="none"/>
          <w:u w:val="single"/>
        </w:rPr>
        <w:t xml:space="preserve">    （手机）         </w:t>
      </w:r>
      <w:r/>
    </w:p>
    <w:p>
      <w:pPr>
        <w:pStyle w:val="932"/>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授权单位名称：</w:t>
      </w:r>
      <w:r>
        <w:rPr>
          <w:rFonts w:hint="eastAsia"/>
          <w:color w:val="auto"/>
          <w:highlight w:val="none"/>
          <w:u w:val="single"/>
        </w:rPr>
        <w:t xml:space="preserve">    </w:t>
      </w:r>
      <w:r>
        <w:rPr>
          <w:color w:val="auto"/>
          <w:highlight w:val="none"/>
          <w:u w:val="single"/>
        </w:rPr>
        <w:t xml:space="preserve">（加盖CA电子公章）</w:t>
      </w:r>
      <w:r>
        <w:rPr>
          <w:rFonts w:hint="eastAsia"/>
          <w:color w:val="auto"/>
          <w:highlight w:val="none"/>
          <w:u w:val="single"/>
        </w:rPr>
        <w:t xml:space="preserve">   </w:t>
      </w:r>
      <w:r/>
    </w:p>
    <w:p>
      <w:pPr>
        <w:pStyle w:val="932"/>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单 位 地 址：</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932"/>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日       期：</w:t>
      </w:r>
      <w:r>
        <w:rPr>
          <w:color w:val="auto"/>
          <w:highlight w:val="none"/>
          <w:u w:val="single"/>
        </w:rPr>
        <w:t xml:space="preserve">                          </w:t>
      </w:r>
      <w:r/>
    </w:p>
    <w:p>
      <w:pPr>
        <w:pStyle w:val="932"/>
        <w:ind w:firstLine="600"/>
        <w:jc w:val="both"/>
        <w:spacing w:beforeAutospacing="0" w:afterAutospacing="0" w:line="500" w:lineRule="exact"/>
        <w:shd w:val="clear" w:color="auto"/>
        <w:rPr>
          <w:color w:val="auto"/>
          <w:highlight w:val="none"/>
        </w:rPr>
      </w:pPr>
      <w:r>
        <w:rPr>
          <w:color w:val="auto"/>
          <w:highlight w:val="none"/>
        </w:rPr>
        <w:t xml:space="preserve"> </w:t>
      </w:r>
      <w:r/>
    </w:p>
    <w:p>
      <w:pPr>
        <w:pStyle w:val="932"/>
        <w:ind w:firstLine="600"/>
        <w:jc w:val="both"/>
        <w:spacing w:beforeAutospacing="0" w:afterAutospacing="0" w:line="500" w:lineRule="exact"/>
        <w:shd w:val="clear" w:color="auto"/>
        <w:rPr>
          <w:color w:val="auto"/>
          <w:highlight w:val="none"/>
        </w:rPr>
      </w:pPr>
      <w:r>
        <w:rPr>
          <w:color w:val="auto"/>
          <w:highlight w:val="none"/>
        </w:rPr>
        <w:t xml:space="preserve"> </w:t>
      </w:r>
      <w:r/>
    </w:p>
    <w:p>
      <w:pPr>
        <w:pStyle w:val="932"/>
        <w:ind w:firstLine="600"/>
        <w:jc w:val="both"/>
        <w:spacing w:beforeAutospacing="0" w:afterAutospacing="0" w:line="500" w:lineRule="exact"/>
        <w:shd w:val="clear" w:color="auto"/>
        <w:rPr>
          <w:color w:val="auto"/>
          <w:highlight w:val="none"/>
        </w:rPr>
      </w:pPr>
      <w:r>
        <w:rPr>
          <w:color w:val="auto"/>
          <w:highlight w:val="none"/>
        </w:rPr>
        <w:t xml:space="preserve"> </w:t>
      </w:r>
      <w:r/>
    </w:p>
    <w:p>
      <w:pPr>
        <w:shd w:val="clear" w:color="auto"/>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pStyle w:val="932"/>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八、投标函</w:t>
      </w:r>
      <w:r/>
    </w:p>
    <w:p>
      <w:pPr>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号招标文件，正式授权下述签字人______(姓名)代表我方______________（投标人的名称），全权处理本次项目投标的有关事宜。</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4.同意向贵方提供贵方可能另外要求的与投标有关的任何证据或资料，并保证我方已提供和将要提供的文件是真实的、准确的。</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00" w:lineRule="exact"/>
        <w:shd w:val="clear" w:color="auto"/>
        <w:rPr>
          <w:color w:val="auto"/>
          <w:highlight w:val="none"/>
        </w:rPr>
      </w:pPr>
      <w:r>
        <w:rPr>
          <w:rFonts w:hint="eastAsia" w:ascii="宋体" w:hAnsi="宋体" w:cs="宋体"/>
          <w:color w:val="auto"/>
          <w:sz w:val="24"/>
          <w:highlight w:val="none"/>
        </w:rPr>
        <w:t xml:space="preserve">日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期：______年____月____日</w:t>
      </w:r>
      <w:r>
        <w:rPr>
          <w:color w:val="auto"/>
          <w:highlight w:val="none"/>
        </w:rPr>
        <w:t xml:space="preserve"> </w:t>
      </w:r>
      <w:r/>
    </w:p>
    <w:p>
      <w:pPr>
        <w:jc w:val="left"/>
        <w:shd w:val="clear" w:color="auto"/>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ind w:firstLine="482"/>
        <w:jc w:val="center"/>
        <w:keepLines/>
        <w:keepNext w:val="0"/>
        <w:pageBreakBefore w:val="0"/>
        <w:spacing w:before="260" w:after="260" w:line="420" w:lineRule="exact"/>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szCs w:val="32"/>
          <w:highlight w:val="none"/>
          <w:u w:val="single"/>
        </w:rPr>
        <w:t xml:space="preserve">九、</w:t>
      </w:r>
      <w:r>
        <w:rPr>
          <w:rFonts w:ascii="黑体" w:hAnsi="黑体" w:eastAsia="黑体" w:cs="黑体"/>
          <w:i/>
          <w:color w:val="auto"/>
          <w:sz w:val="32"/>
          <w:highlight w:val="none"/>
          <w:u w:val="single"/>
        </w:rPr>
        <w:t xml:space="preserve">中小企业声明函（服务）</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本公司（联合体）郑重声明，根据《政府采购促进中小企业发展管理办法》(财库[2020]46号)的规定，本公司（联合体）参加盐城市政府采购中心组织的</w:t>
      </w:r>
      <w:r>
        <w:rPr>
          <w:rFonts w:hint="eastAsia" w:ascii="宋体" w:hAnsi="宋体" w:cs="宋体"/>
          <w:color w:val="auto"/>
          <w:sz w:val="24"/>
          <w:highlight w:val="none"/>
          <w:u w:val="single"/>
          <w:lang w:eastAsia="zh-CN"/>
        </w:rPr>
        <w:t xml:space="preserve">盐城市第一中学</w:t>
      </w:r>
      <w:r>
        <w:rPr>
          <w:rFonts w:hint="eastAsia" w:ascii="宋体" w:hAnsi="宋体" w:cs="宋体"/>
          <w:color w:val="auto"/>
          <w:sz w:val="24"/>
          <w:highlight w:val="none"/>
          <w:u w:val="none"/>
          <w:lang w:eastAsia="zh-CN"/>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2025年盐城市第一中学物业管理服务项目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备注2：供应商如不提供此声明函，价格将不做相应扣除（如项目全面面向中小企业，则资格审查不通过）。</w:t>
      </w:r>
      <w:r/>
    </w:p>
    <w:p>
      <w:pPr>
        <w:jc w:val="left"/>
        <w:shd w:val="clear" w:color="auto"/>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pStyle w:val="932"/>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highlight w:val="none"/>
          <w:u w:val="single"/>
          <w:lang w:eastAsia="zh-CN"/>
        </w:rPr>
        <w:t xml:space="preserve">盐城市第一中学</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2025年盐城市第一中学物业管理服务项目</w:t>
      </w:r>
      <w:r>
        <w:rPr>
          <w:rFonts w:hint="eastAsia" w:ascii="宋体" w:hAnsi="宋体" w:cs="宋体"/>
          <w:color w:val="auto"/>
          <w:sz w:val="24"/>
          <w:highlight w:val="none"/>
        </w:rPr>
        <w:t xml:space="preserve">采购活动由本单位提供服务。</w:t>
      </w:r>
      <w:r/>
    </w:p>
    <w:p>
      <w:pPr>
        <w:ind w:firstLine="480"/>
        <w:jc w:val="left"/>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keepLines w:val="0"/>
        <w:keepNext w:val="0"/>
        <w:pageBreakBefore w:val="0"/>
        <w:spacing w:line="500" w:lineRule="exact"/>
        <w:shd w:val="clear" w:color="auto"/>
        <w:widowControl w:val="off"/>
        <w:rPr>
          <w:rFonts w:ascii="宋体" w:hAnsi="宋体" w:cs="宋体"/>
          <w:color w:val="auto"/>
          <w:sz w:val="24"/>
          <w:highlight w:val="none"/>
        </w:rPr>
      </w:pPr>
      <w:r>
        <w:rPr>
          <w:rFonts w:ascii="宋体" w:hAnsi="宋体" w:cs="宋体"/>
          <w:color w:val="auto"/>
          <w:sz w:val="24"/>
          <w:highlight w:val="none"/>
        </w:rPr>
      </w:r>
      <w:r/>
    </w:p>
    <w:p>
      <w:pPr>
        <w:ind w:firstLine="482"/>
        <w:keepLines w:val="0"/>
        <w:keepNext w:val="0"/>
        <w:pageBreakBefore w:val="0"/>
        <w:spacing w:line="500" w:lineRule="exact"/>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shd w:val="clear" w:color="auto"/>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 </w:t>
      </w:r>
      <w:r/>
    </w:p>
    <w:p>
      <w:pPr>
        <w:ind w:right="480" w:firstLine="480"/>
        <w:jc w:val="right"/>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right="480" w:firstLine="480"/>
        <w:jc w:val="right"/>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日  期：        </w:t>
      </w:r>
      <w:r/>
    </w:p>
    <w:p>
      <w:pPr>
        <w:ind w:right="480" w:firstLine="480"/>
        <w:spacing w:line="520" w:lineRule="exact"/>
        <w:shd w:val="clear" w:color="auto"/>
        <w:rPr>
          <w:color w:val="auto"/>
          <w:highlight w:val="none"/>
        </w:rPr>
      </w:pPr>
      <w:r>
        <w:rPr>
          <w:color w:val="auto"/>
          <w:highlight w:val="none"/>
        </w:rPr>
        <w:t xml:space="preserve"> </w:t>
      </w:r>
      <w:r/>
    </w:p>
    <w:p>
      <w:pPr>
        <w:pStyle w:val="932"/>
        <w:ind w:firstLine="643"/>
        <w:jc w:val="center"/>
        <w:spacing w:beforeAutospacing="0" w:afterAutospacing="0" w:line="0" w:lineRule="atLeast"/>
        <w:shd w:val="clear" w:color="auto"/>
        <w:rPr>
          <w:color w:val="auto"/>
          <w:highlight w:val="none"/>
        </w:rPr>
      </w:pPr>
      <w:r>
        <w:rPr>
          <w:rFonts w:ascii="黑体" w:eastAsia="黑体" w:cs="黑体"/>
          <w:b/>
          <w:color w:val="auto"/>
          <w:sz w:val="32"/>
          <w:szCs w:val="32"/>
          <w:highlight w:val="none"/>
        </w:rPr>
        <w:br w:type="page" w:clear="all"/>
      </w:r>
      <w:r/>
    </w:p>
    <w:p>
      <w:pPr>
        <w:pStyle w:val="932"/>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十一、投标分项报价表</w:t>
      </w:r>
      <w:r/>
    </w:p>
    <w:tbl>
      <w:tblPr>
        <w:tblStyle w:val="719"/>
        <w:tblW w:w="8928" w:type="dxa"/>
        <w:jc w:val="center"/>
        <w:tblLayout w:type="fixed"/>
        <w:tblCellMar>
          <w:left w:w="108" w:type="dxa"/>
          <w:top w:w="0" w:type="dxa"/>
          <w:right w:w="108" w:type="dxa"/>
          <w:bottom w:w="0" w:type="dxa"/>
        </w:tblCellMar>
        <w:tblLook w:val="04A0" w:firstRow="1" w:lastRow="0" w:firstColumn="1" w:lastColumn="0" w:noHBand="0" w:noVBand="1"/>
      </w:tblPr>
      <w:tblGrid>
        <w:gridCol w:w="737"/>
        <w:gridCol w:w="1672"/>
        <w:gridCol w:w="1150"/>
        <w:gridCol w:w="1015"/>
        <w:gridCol w:w="969"/>
        <w:gridCol w:w="1055"/>
        <w:gridCol w:w="2330"/>
      </w:tblGrid>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82"/>
              <w:numPr>
                <w:ilvl w:val="0"/>
                <w:numId w:val="4"/>
              </w:num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Style w:val="928"/>
                <w:rFonts w:hint="eastAsia" w:asciiTheme="minorEastAsia" w:hAnsiTheme="minorEastAsia" w:eastAsiaTheme="minorEastAsia" w:cstheme="minorEastAsia"/>
                <w:sz w:val="24"/>
                <w:szCs w:val="24"/>
                <w:highlight w:val="none"/>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w:t>
            </w:r>
            <w:r/>
          </w:p>
        </w:tc>
      </w:tr>
      <w:tr>
        <w:trPr>
          <w:jc w:val="center"/>
          <w:trHeight w:val="115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物业管理服务人员工资、社保、住房公积金、加班费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2330" w:type="dxa"/>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备注栏内要求必须完全响应否则作无效标书处理。</w:t>
            </w:r>
            <w:r/>
          </w:p>
        </w:tc>
      </w:tr>
    </w:tbl>
    <w:p>
      <w:r/>
      <w:r/>
    </w:p>
    <w:tbl>
      <w:tblPr>
        <w:tblStyle w:val="719"/>
        <w:tblW w:w="8983" w:type="dxa"/>
        <w:jc w:val="center"/>
        <w:tblLayout w:type="fixed"/>
        <w:tblCellMar>
          <w:left w:w="108" w:type="dxa"/>
          <w:top w:w="0" w:type="dxa"/>
          <w:right w:w="108" w:type="dxa"/>
          <w:bottom w:w="0" w:type="dxa"/>
        </w:tblCellMar>
        <w:tblLook w:val="04A0" w:firstRow="1" w:lastRow="0" w:firstColumn="1" w:lastColumn="0" w:noHBand="0" w:noVBand="1"/>
      </w:tblPr>
      <w:tblGrid>
        <w:gridCol w:w="737"/>
        <w:gridCol w:w="1672"/>
        <w:gridCol w:w="1150"/>
        <w:gridCol w:w="1015"/>
        <w:gridCol w:w="969"/>
        <w:gridCol w:w="1055"/>
        <w:gridCol w:w="2385"/>
      </w:tblGrid>
      <w:tr>
        <w:trPr>
          <w:jc w:val="center"/>
          <w:trHeight w:val="680"/>
        </w:trPr>
        <w:tc>
          <w:tcPr>
            <w:shd w:val="clear" w:color="auto" w:fill="auto"/>
            <w:tcBorders>
              <w:top w:val="single" w:color="000000" w:sz="4" w:space="0"/>
              <w:left w:val="single" w:color="000000" w:sz="4" w:space="0"/>
              <w:right w:val="single" w:color="000000" w:sz="4" w:space="0"/>
            </w:tcBorders>
            <w:tcW w:w="737"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vMerge w:val="restart"/>
            <w:textDirection w:val="lrTb"/>
            <w:noWrap w:val="false"/>
          </w:tcPr>
          <w:p>
            <w:pPr>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项目经理、电工、保健员不低于3700元/人</w:t>
            </w:r>
            <w:r>
              <w:rPr>
                <w:rFonts w:hint="eastAsia" w:asciiTheme="minorEastAsia" w:hAnsiTheme="minorEastAsia" w:cstheme="minorEastAsia"/>
                <w:sz w:val="21"/>
                <w:szCs w:val="21"/>
                <w:highlight w:val="none"/>
                <w:lang w:val="en-US" w:eastAsia="zh-CN" w:bidi="ar-SA"/>
              </w:rPr>
              <w:t xml:space="preserve">/</w:t>
            </w:r>
            <w:r>
              <w:rPr>
                <w:rFonts w:hint="eastAsia" w:asciiTheme="minorEastAsia" w:hAnsiTheme="minorEastAsia" w:eastAsiaTheme="minorEastAsia" w:cstheme="minorEastAsia"/>
                <w:sz w:val="21"/>
                <w:szCs w:val="21"/>
                <w:highlight w:val="none"/>
                <w:lang w:val="en-US" w:eastAsia="zh-CN" w:bidi="ar-SA"/>
              </w:rPr>
              <w:t xml:space="preserve">每月，人员实发工资标准按12个月测算，否则作无效标书处理。</w:t>
            </w:r>
            <w:r/>
          </w:p>
        </w:tc>
      </w:tr>
      <w:tr>
        <w:trPr>
          <w:jc w:val="center"/>
          <w:trHeight w:val="680"/>
        </w:trPr>
        <w:tc>
          <w:tcPr>
            <w:shd w:val="clear" w:color="auto" w:fill="auto"/>
            <w:tcBorders>
              <w:left w:val="single" w:color="000000" w:sz="4" w:space="0"/>
              <w:right w:val="single" w:color="000000" w:sz="4" w:space="0"/>
            </w:tcBorders>
            <w:tcW w:w="737" w:type="dxa"/>
            <w:vAlign w:val="center"/>
            <w:vMerge w:val="continue"/>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电工</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vMerge w:val="continue"/>
            <w:textDirection w:val="lrTb"/>
            <w:noWrap w:val="false"/>
          </w:tcPr>
          <w:p>
            <w:pPr>
              <w:pStyle w:val="752"/>
              <w:ind w:firstLine="480"/>
              <w:spacing w:line="240" w:lineRule="auto"/>
              <w:tabs>
                <w:tab w:val="left" w:pos="9000" w:leader="none"/>
              </w:tabs>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r>
            <w:r/>
          </w:p>
        </w:tc>
      </w:tr>
      <w:tr>
        <w:trPr>
          <w:jc w:val="center"/>
          <w:trHeight w:val="603"/>
        </w:trPr>
        <w:tc>
          <w:tcPr>
            <w:shd w:val="clear" w:color="auto" w:fill="auto"/>
            <w:tcBorders>
              <w:left w:val="single" w:color="000000" w:sz="4" w:space="0"/>
              <w:right w:val="single" w:color="000000" w:sz="4" w:space="0"/>
            </w:tcBorders>
            <w:tcW w:w="737" w:type="dxa"/>
            <w:vAlign w:val="center"/>
            <w:vMerge w:val="continue"/>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保健员</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vMerge w:val="continue"/>
            <w:textDirection w:val="lrTb"/>
            <w:noWrap w:val="false"/>
          </w:tcPr>
          <w:p>
            <w:pPr>
              <w:pStyle w:val="752"/>
              <w:ind w:firstLine="480"/>
              <w:spacing w:line="240" w:lineRule="auto"/>
              <w:tabs>
                <w:tab w:val="left" w:pos="9000" w:leader="none"/>
              </w:tabs>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r>
            <w:r/>
          </w:p>
        </w:tc>
      </w:tr>
      <w:tr>
        <w:trPr>
          <w:jc w:val="center"/>
          <w:trHeight w:val="996"/>
        </w:trPr>
        <w:tc>
          <w:tcPr>
            <w:shd w:val="clear" w:color="auto" w:fill="auto"/>
            <w:tcBorders>
              <w:left w:val="single" w:color="000000" w:sz="4" w:space="0"/>
              <w:right w:val="single" w:color="000000" w:sz="4" w:space="0"/>
            </w:tcBorders>
            <w:tcW w:w="737" w:type="dxa"/>
            <w:vAlign w:val="center"/>
            <w:vMerge w:val="continue"/>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105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vMerge w:val="restart"/>
            <w:textDirection w:val="lrTb"/>
            <w:noWrap w:val="false"/>
          </w:tcPr>
          <w:p>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所有工作人员工资不低于本市最新公布的最低工资标准（2260元/人*月）。所提供人员的费用不得低于上述标准进行测算，否则将视为未实质性响应招标文件要求</w:t>
            </w:r>
            <w:r/>
          </w:p>
        </w:tc>
      </w:tr>
      <w:tr>
        <w:trPr>
          <w:jc w:val="center"/>
          <w:trHeight w:val="680"/>
        </w:trPr>
        <w:tc>
          <w:tcPr>
            <w:shd w:val="clear" w:color="auto" w:fill="auto"/>
            <w:tcBorders>
              <w:left w:val="single" w:color="000000" w:sz="4" w:space="0"/>
              <w:right w:val="single" w:color="000000" w:sz="4" w:space="0"/>
            </w:tcBorders>
            <w:tcW w:w="737" w:type="dxa"/>
            <w:vAlign w:val="center"/>
            <w:vMerge w:val="continue"/>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宿舍管理员</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105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vMerge w:val="continue"/>
            <w:textDirection w:val="lrTb"/>
            <w:noWrap w:val="false"/>
          </w:tcPr>
          <w:p>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本项目要求每年国假加班天数为13天，国假加班人员数不得低于</w:t>
            </w:r>
            <w:r>
              <w:rPr>
                <w:rFonts w:hint="eastAsia" w:asciiTheme="minorEastAsia" w:hAnsi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人，各投标人须按不低于4052.41元/人每年填报，否则作无效标书处理。</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所有</w:t>
            </w:r>
            <w:r>
              <w:rPr>
                <w:rFonts w:hint="eastAsia" w:asciiTheme="minorEastAsia" w:hAnsiTheme="minorEastAsia" w:eastAsiaTheme="minorEastAsia" w:cstheme="minorEastAsia"/>
                <w:sz w:val="20"/>
                <w:szCs w:val="20"/>
                <w:highlight w:val="none"/>
              </w:rPr>
              <w:t xml:space="preserve">人员必须足额缴纳保险费用，保险费用应满足执行苏人社发</w:t>
            </w:r>
            <w:r>
              <w:rPr>
                <w:rFonts w:hint="eastAsia" w:asciiTheme="minorEastAsia" w:hAnsiTheme="minorEastAsia" w:cstheme="minorEastAsia"/>
                <w:sz w:val="20"/>
                <w:szCs w:val="20"/>
                <w:highlight w:val="none"/>
                <w:lang w:eastAsia="zh-CN"/>
              </w:rPr>
              <w:t xml:space="preserve">〔2025〕33号</w:t>
            </w:r>
            <w:r>
              <w:rPr>
                <w:rFonts w:hint="eastAsia" w:asciiTheme="minorEastAsia" w:hAnsiTheme="minorEastAsia" w:eastAsiaTheme="minorEastAsia" w:cstheme="minorEastAsia"/>
                <w:sz w:val="20"/>
                <w:szCs w:val="20"/>
                <w:highlight w:val="none"/>
              </w:rPr>
              <w:t xml:space="preserve">&lt;&lt;关于发布2024年度社会保险有关基数的通知&gt;&gt;，调整后的最低基数</w:t>
            </w:r>
            <w:r>
              <w:rPr>
                <w:rFonts w:hint="eastAsia" w:asciiTheme="minorEastAsia" w:hAnsiTheme="minorEastAsia" w:cstheme="minorEastAsia"/>
                <w:sz w:val="20"/>
                <w:szCs w:val="20"/>
                <w:highlight w:val="none"/>
                <w:lang w:val="en-US" w:eastAsia="zh-CN"/>
              </w:rPr>
              <w:t xml:space="preserve">4952</w:t>
            </w:r>
            <w:r>
              <w:rPr>
                <w:rFonts w:hint="eastAsia" w:asciiTheme="minorEastAsia" w:hAnsiTheme="minorEastAsia" w:eastAsiaTheme="minorEastAsia" w:cstheme="minorEastAsia"/>
                <w:sz w:val="20"/>
                <w:szCs w:val="20"/>
                <w:highlight w:val="none"/>
              </w:rPr>
              <w:t xml:space="preserve">元。社保（企业部分）不得低于上述文件标准及规定险种测算（规定险种为“五险”，指养老保险金16%（</w:t>
            </w:r>
            <w:r>
              <w:rPr>
                <w:rFonts w:hint="eastAsia" w:asciiTheme="minorEastAsia" w:hAnsiTheme="minorEastAsia" w:cstheme="minorEastAsia"/>
                <w:sz w:val="20"/>
                <w:szCs w:val="20"/>
                <w:highlight w:val="none"/>
                <w:lang w:val="en-US" w:eastAsia="zh-CN"/>
              </w:rPr>
              <w:t xml:space="preserve">792.32</w:t>
            </w:r>
            <w:r>
              <w:rPr>
                <w:rFonts w:hint="eastAsia" w:asciiTheme="minorEastAsia" w:hAnsiTheme="minorEastAsia" w:eastAsiaTheme="minorEastAsia" w:cstheme="minorEastAsia"/>
                <w:sz w:val="20"/>
                <w:szCs w:val="20"/>
                <w:highlight w:val="none"/>
              </w:rPr>
              <w:t xml:space="preserve">元）、医疗保险金8%（39</w:t>
            </w:r>
            <w:r>
              <w:rPr>
                <w:rFonts w:hint="eastAsia" w:asciiTheme="minorEastAsia" w:hAnsiTheme="minorEastAsia" w:cstheme="minorEastAsia"/>
                <w:sz w:val="20"/>
                <w:szCs w:val="20"/>
                <w:highlight w:val="none"/>
                <w:lang w:val="en-US" w:eastAsia="zh-CN"/>
              </w:rPr>
              <w:t xml:space="preserve">6</w:t>
            </w:r>
            <w:r>
              <w:rPr>
                <w:rFonts w:hint="eastAsia" w:asciiTheme="minorEastAsia" w:hAnsiTheme="minorEastAsia" w:eastAsiaTheme="minorEastAsia" w:cstheme="minorEastAsia"/>
                <w:sz w:val="20"/>
                <w:szCs w:val="20"/>
                <w:highlight w:val="none"/>
              </w:rPr>
              <w:t xml:space="preserve">.32元）、工伤保险金0.7%（34.</w:t>
            </w:r>
            <w:r>
              <w:rPr>
                <w:rFonts w:hint="eastAsia" w:asciiTheme="minorEastAsia" w:hAnsiTheme="minorEastAsia" w:cstheme="minorEastAsia"/>
                <w:sz w:val="20"/>
                <w:szCs w:val="20"/>
                <w:highlight w:val="none"/>
                <w:lang w:val="en-US" w:eastAsia="zh-CN"/>
              </w:rPr>
              <w:t xml:space="preserve">66</w:t>
            </w:r>
            <w:r>
              <w:rPr>
                <w:rFonts w:hint="eastAsia" w:asciiTheme="minorEastAsia" w:hAnsiTheme="minorEastAsia" w:eastAsiaTheme="minorEastAsia" w:cstheme="minorEastAsia"/>
                <w:sz w:val="20"/>
                <w:szCs w:val="20"/>
                <w:highlight w:val="none"/>
              </w:rPr>
              <w:t xml:space="preserve">元）、生育保险金0.9%（</w:t>
            </w:r>
            <w:r>
              <w:rPr>
                <w:rFonts w:hint="eastAsia" w:asciiTheme="minorEastAsia" w:hAnsiTheme="minorEastAsia" w:cstheme="minorEastAsia"/>
                <w:sz w:val="20"/>
                <w:szCs w:val="20"/>
                <w:highlight w:val="none"/>
                <w:lang w:val="en-US" w:eastAsia="zh-CN"/>
              </w:rPr>
              <w:t xml:space="preserve">44.57</w:t>
            </w:r>
            <w:r>
              <w:rPr>
                <w:rFonts w:hint="eastAsia" w:asciiTheme="minorEastAsia" w:hAnsiTheme="minorEastAsia" w:eastAsiaTheme="minorEastAsia" w:cstheme="minorEastAsia"/>
                <w:sz w:val="20"/>
                <w:szCs w:val="20"/>
                <w:highlight w:val="none"/>
              </w:rPr>
              <w:t xml:space="preserve">元）、失业保险金0.5%（24.</w:t>
            </w:r>
            <w:r>
              <w:rPr>
                <w:rFonts w:hint="eastAsia" w:asciiTheme="minorEastAsia" w:hAnsiTheme="minorEastAsia" w:cstheme="minorEastAsia"/>
                <w:sz w:val="20"/>
                <w:szCs w:val="20"/>
                <w:highlight w:val="none"/>
                <w:lang w:val="en-US" w:eastAsia="zh-CN"/>
              </w:rPr>
              <w:t xml:space="preserve">76</w:t>
            </w:r>
            <w:r>
              <w:rPr>
                <w:rFonts w:hint="eastAsia" w:asciiTheme="minorEastAsia" w:hAnsiTheme="minorEastAsia" w:eastAsiaTheme="minorEastAsia" w:cstheme="minorEastAsia"/>
                <w:sz w:val="20"/>
                <w:szCs w:val="20"/>
                <w:highlight w:val="none"/>
              </w:rPr>
              <w:t xml:space="preserve">元）），即不得低于</w:t>
            </w:r>
            <w:r>
              <w:rPr>
                <w:rFonts w:hint="eastAsia" w:asciiTheme="minorEastAsia" w:hAnsiTheme="minorEastAsia" w:cstheme="minorEastAsia"/>
                <w:sz w:val="20"/>
                <w:szCs w:val="20"/>
                <w:highlight w:val="none"/>
                <w:lang w:eastAsia="zh-CN"/>
              </w:rPr>
              <w:t xml:space="preserve">1292.47</w:t>
            </w:r>
            <w:r>
              <w:rPr>
                <w:rFonts w:hint="eastAsia" w:asciiTheme="minorEastAsia" w:hAnsiTheme="minorEastAsia" w:eastAsiaTheme="minorEastAsia" w:cstheme="minorEastAsia"/>
                <w:sz w:val="20"/>
                <w:szCs w:val="20"/>
                <w:highlight w:val="none"/>
              </w:rPr>
              <w:t xml:space="preserve">元/人每月。否则按无效标书处理。</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住房公积金须按不低于</w:t>
            </w:r>
            <w:r>
              <w:rPr>
                <w:rFonts w:hint="eastAsia" w:asciiTheme="minorEastAsia" w:hAnsiTheme="minorEastAsia" w:cstheme="minorEastAsia"/>
                <w:sz w:val="21"/>
                <w:szCs w:val="21"/>
                <w:highlight w:val="none"/>
                <w:lang w:val="en-US" w:eastAsia="zh-CN"/>
              </w:rPr>
              <w:t xml:space="preserve">114</w:t>
            </w:r>
            <w:r>
              <w:rPr>
                <w:rFonts w:hint="eastAsia" w:asciiTheme="minorEastAsia" w:hAnsiTheme="minorEastAsia" w:eastAsiaTheme="minorEastAsia" w:cstheme="minorEastAsia"/>
                <w:sz w:val="21"/>
                <w:szCs w:val="21"/>
                <w:highlight w:val="none"/>
              </w:rPr>
              <w:t xml:space="preserve">元/人*月。</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综合管理杂费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24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人员服装费须按不低于每人200元/年。</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24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人员福利费须按不低于每人200元/年。</w:t>
            </w:r>
            <w:r/>
          </w:p>
        </w:tc>
      </w:tr>
      <w:tr>
        <w:trPr>
          <w:jc w:val="center"/>
          <w:trHeight w:val="931"/>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不可预见费等</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其他投标人为完成招标文件规定的服务工作所涉及到的一切相关费用</w:t>
            </w:r>
            <w:r>
              <w:rPr>
                <w:rFonts w:hint="eastAsia" w:asciiTheme="minorEastAsia" w:hAnsiTheme="minorEastAsia" w:cstheme="minorEastAsia"/>
                <w:sz w:val="21"/>
                <w:szCs w:val="21"/>
                <w:highlight w:val="none"/>
                <w:lang w:eastAsia="zh-CN"/>
              </w:rPr>
              <w:t xml:space="preserve">。</w:t>
            </w:r>
            <w:r/>
          </w:p>
        </w:tc>
      </w:tr>
      <w:tr>
        <w:trPr>
          <w:jc w:val="center"/>
          <w:trHeight w:val="656"/>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利润（管理费）</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14"/>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各投标人填报的税率统一按照6.72%计算。</w:t>
            </w:r>
            <w:r/>
          </w:p>
        </w:tc>
      </w:tr>
      <w:tr>
        <w:trPr>
          <w:jc w:val="center"/>
          <w:trHeight w:val="680"/>
        </w:trPr>
        <w:tc>
          <w:tcPr>
            <w:gridSpan w:val="2"/>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投标总报价</w:t>
            </w:r>
            <w:r/>
          </w:p>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（一年费用）</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计算式：（1项+2项+…+5项）</w:t>
            </w:r>
            <w:r/>
          </w:p>
        </w:tc>
      </w:tr>
    </w:tbl>
    <w:p>
      <w:pPr>
        <w:pStyle w:val="744"/>
        <w:jc w:val="both"/>
        <w:spacing w:beforeAutospacing="0" w:afterAutospacing="0"/>
        <w:shd w:val="clear" w:color="auto"/>
        <w:rPr>
          <w:color w:val="auto"/>
          <w:highlight w:val="none"/>
        </w:rPr>
      </w:pPr>
      <w:r>
        <w:rPr>
          <w:color w:val="auto"/>
          <w:highlight w:val="none"/>
        </w:rPr>
      </w:r>
      <w:r/>
    </w:p>
    <w:p>
      <w:pPr>
        <w:ind w:firstLine="470"/>
        <w:spacing w:line="360" w:lineRule="auto"/>
        <w:shd w:val="clear" w:color="auto"/>
        <w:rPr>
          <w:rFonts w:ascii="宋体" w:hAnsi="宋体"/>
          <w:bCs/>
          <w:color w:val="auto"/>
          <w:sz w:val="24"/>
          <w:highlight w:val="none"/>
        </w:rPr>
      </w:pPr>
      <w:r>
        <w:rPr>
          <w:rFonts w:hint="eastAsia" w:ascii="宋体" w:hAnsi="宋体"/>
          <w:b/>
          <w:color w:val="auto"/>
          <w:sz w:val="24"/>
          <w:highlight w:val="none"/>
        </w:rPr>
        <w:t xml:space="preserve">注：</w:t>
      </w:r>
      <w:r>
        <w:rPr>
          <w:rFonts w:hint="eastAsia" w:ascii="宋体" w:hAnsi="宋体"/>
          <w:b/>
          <w:i/>
          <w:iCs/>
          <w:color w:val="auto"/>
          <w:sz w:val="24"/>
          <w:highlight w:val="none"/>
          <w:u w:val="single"/>
        </w:rPr>
        <w:t xml:space="preserve">投标人</w:t>
      </w:r>
      <w:r>
        <w:rPr>
          <w:rFonts w:hint="eastAsia" w:ascii="宋体" w:hAnsi="Arial" w:cs="宋体"/>
          <w:b/>
          <w:bCs/>
          <w:i/>
          <w:iCs/>
          <w:color w:val="auto"/>
          <w:sz w:val="24"/>
          <w:highlight w:val="none"/>
          <w:u w:val="single"/>
          <w:lang w:val="zh-CN"/>
        </w:rPr>
        <w:t xml:space="preserve">所提供人员的费用不得低于上述标准进行测算，</w:t>
      </w:r>
      <w:r>
        <w:rPr>
          <w:rFonts w:hint="eastAsia" w:ascii="宋体" w:hAnsi="宋体"/>
          <w:b/>
          <w:bCs/>
          <w:i/>
          <w:iCs/>
          <w:color w:val="auto"/>
          <w:sz w:val="24"/>
          <w:highlight w:val="none"/>
          <w:u w:val="single"/>
        </w:rPr>
        <w:t xml:space="preserve">否则</w:t>
      </w:r>
      <w:r>
        <w:rPr>
          <w:rFonts w:hint="eastAsia" w:ascii="宋体" w:hAnsi="Arial" w:cs="宋体"/>
          <w:b/>
          <w:bCs/>
          <w:i/>
          <w:iCs/>
          <w:color w:val="auto"/>
          <w:sz w:val="24"/>
          <w:highlight w:val="none"/>
          <w:u w:val="single"/>
          <w:lang w:val="zh-CN"/>
        </w:rPr>
        <w:t xml:space="preserve">视为未实质性响应招标文件要求</w:t>
      </w:r>
      <w:r>
        <w:rPr>
          <w:rFonts w:hint="eastAsia" w:ascii="宋体" w:hAnsi="宋体"/>
          <w:b/>
          <w:bCs/>
          <w:i/>
          <w:iCs/>
          <w:color w:val="auto"/>
          <w:sz w:val="24"/>
          <w:highlight w:val="none"/>
          <w:u w:val="single"/>
        </w:rPr>
        <w:t xml:space="preserve">。</w:t>
      </w:r>
      <w:r>
        <w:rPr>
          <w:rFonts w:hint="eastAsia" w:ascii="宋体" w:hAnsi="宋体"/>
          <w:b/>
          <w:bCs/>
          <w:color w:val="auto"/>
          <w:sz w:val="24"/>
          <w:highlight w:val="none"/>
          <w:u w:val="none"/>
          <w:lang w:val="zh-CN"/>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b/>
          <w:bCs/>
          <w:i w:val="0"/>
          <w:iCs w:val="0"/>
          <w:color w:val="auto"/>
          <w:sz w:val="24"/>
          <w:highlight w:val="none"/>
          <w:u w:val="none"/>
          <w:lang w:val="zh-CN"/>
        </w:rPr>
        <w:t xml:space="preserve">。</w:t>
      </w:r>
      <w:r/>
    </w:p>
    <w:p>
      <w:pPr>
        <w:jc w:val="right"/>
        <w:spacing w:line="15" w:lineRule="atLeast"/>
        <w:shd w:val="clear" w:color="auto"/>
        <w:widowControl/>
        <w:rPr>
          <w:rFonts w:ascii="sans-serif" w:hAnsi="sans-serif" w:eastAsia="sans-serif" w:cs="sans-serif"/>
          <w:color w:val="auto"/>
          <w:sz w:val="30"/>
          <w:szCs w:val="30"/>
          <w:highlight w:val="none"/>
          <w:lang w:bidi="ar"/>
        </w:rPr>
      </w:pPr>
      <w:r>
        <w:rPr>
          <w:rFonts w:ascii="sans-serif" w:hAnsi="sans-serif" w:eastAsia="sans-serif" w:cs="sans-serif"/>
          <w:color w:val="auto"/>
          <w:sz w:val="30"/>
          <w:szCs w:val="30"/>
          <w:highlight w:val="none"/>
          <w:lang w:bidi="ar"/>
        </w:rPr>
      </w:r>
      <w:r/>
    </w:p>
    <w:p>
      <w:pPr>
        <w:jc w:val="right"/>
        <w:spacing w:line="360" w:lineRule="auto"/>
        <w:shd w:val="clear" w:color="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投   标   人：（单位盖章）        </w:t>
      </w:r>
      <w:r/>
    </w:p>
    <w:p>
      <w:pPr>
        <w:jc w:val="center"/>
        <w:spacing w:line="360" w:lineRule="auto"/>
        <w:shd w:val="clear" w:color="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法定代表人或授权委托人：（签字或盖章）      </w:t>
      </w:r>
      <w:r/>
    </w:p>
    <w:p>
      <w:pPr>
        <w:jc w:val="right"/>
        <w:spacing w:line="360" w:lineRule="auto"/>
        <w:shd w:val="clear" w:color="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日      期：  年   月  日 </w:t>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pStyle w:val="932"/>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lang w:val="en-US" w:eastAsia="zh-CN"/>
        </w:rPr>
        <w:t xml:space="preserve">十二、</w:t>
      </w:r>
      <w:r>
        <w:rPr>
          <w:rFonts w:hint="eastAsia" w:ascii="黑体" w:hAnsi="黑体" w:eastAsia="黑体" w:cs="黑体"/>
          <w:i/>
          <w:color w:val="auto"/>
          <w:sz w:val="32"/>
          <w:szCs w:val="32"/>
          <w:highlight w:val="none"/>
          <w:u w:val="single"/>
        </w:rPr>
        <w:t xml:space="preserve">技术要求响应及偏离表</w:t>
      </w:r>
      <w:r/>
    </w:p>
    <w:tbl>
      <w:tblPr>
        <w:tblStyle w:val="719"/>
        <w:tblW w:w="873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17"/>
        <w:gridCol w:w="2391"/>
        <w:gridCol w:w="2260"/>
        <w:gridCol w:w="1694"/>
        <w:gridCol w:w="1571"/>
      </w:tblGrid>
      <w:tr>
        <w:trPr>
          <w:jc w:val="center"/>
          <w:tblCellSpacing w:w="0" w:type="dxa"/>
          <w:trHeight w:val="105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2"/>
              <w:ind w:firstLine="0"/>
              <w:jc w:val="center"/>
              <w:spacing w:line="500" w:lineRule="exact"/>
              <w:shd w:val="clear" w:color="auto"/>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32"/>
              <w:ind w:firstLine="0"/>
              <w:jc w:val="center"/>
              <w:spacing w:line="500" w:lineRule="exact"/>
              <w:shd w:val="clear" w:color="auto"/>
              <w:rPr>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32"/>
              <w:ind w:firstLine="0"/>
              <w:jc w:val="center"/>
              <w:spacing w:line="500" w:lineRule="exact"/>
              <w:shd w:val="clear" w:color="auto"/>
              <w:rPr>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32"/>
              <w:ind w:firstLine="0"/>
              <w:jc w:val="center"/>
              <w:spacing w:line="500" w:lineRule="exact"/>
              <w:shd w:val="clear" w:color="auto"/>
              <w:rPr>
                <w:color w:val="auto"/>
                <w:szCs w:val="24"/>
                <w:highlight w:val="none"/>
              </w:rPr>
            </w:pPr>
            <w:r>
              <w:rPr>
                <w:rFonts w:hint="eastAsia"/>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32"/>
              <w:ind w:firstLine="0"/>
              <w:jc w:val="center"/>
              <w:spacing w:line="500" w:lineRule="exact"/>
              <w:shd w:val="clear" w:color="auto"/>
              <w:rPr>
                <w:color w:val="auto"/>
                <w:szCs w:val="24"/>
                <w:highlight w:val="none"/>
              </w:rPr>
            </w:pPr>
            <w:r>
              <w:rPr>
                <w:rFonts w:hint="eastAsia"/>
                <w:color w:val="auto"/>
                <w:szCs w:val="24"/>
                <w:highlight w:val="none"/>
              </w:rPr>
              <w:t xml:space="preserve">证明材料</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2"/>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32"/>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32"/>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32"/>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32"/>
              <w:ind w:firstLine="480"/>
              <w:spacing w:line="500" w:lineRule="exact"/>
              <w:shd w:val="clear" w:color="auto"/>
              <w:rPr>
                <w:color w:val="auto"/>
                <w:szCs w:val="24"/>
                <w:highlight w:val="none"/>
              </w:rPr>
            </w:pPr>
            <w:r>
              <w:rPr>
                <w:color w:val="auto"/>
                <w:szCs w:val="24"/>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2"/>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32"/>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32"/>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32"/>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32"/>
              <w:ind w:firstLine="480"/>
              <w:spacing w:line="500" w:lineRule="exact"/>
              <w:shd w:val="clear" w:color="auto"/>
              <w:rPr>
                <w:color w:val="auto"/>
                <w:szCs w:val="24"/>
                <w:highlight w:val="none"/>
              </w:rPr>
            </w:pPr>
            <w:r>
              <w:rPr>
                <w:color w:val="auto"/>
                <w:szCs w:val="24"/>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2"/>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32"/>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32"/>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32"/>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32"/>
              <w:ind w:firstLine="480"/>
              <w:jc w:val="center"/>
              <w:spacing w:line="500" w:lineRule="exact"/>
              <w:shd w:val="clear" w:color="auto"/>
              <w:rPr>
                <w:color w:val="auto"/>
                <w:szCs w:val="24"/>
                <w:highlight w:val="none"/>
              </w:rPr>
            </w:pPr>
            <w:r>
              <w:rPr>
                <w:color w:val="auto"/>
                <w:szCs w:val="24"/>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32"/>
              <w:ind w:firstLine="480"/>
              <w:spacing w:line="500" w:lineRule="exact"/>
              <w:shd w:val="clear" w:color="auto"/>
              <w:rPr>
                <w:color w:val="auto"/>
                <w:highlight w:val="none"/>
              </w:rPr>
            </w:pPr>
            <w:r>
              <w:rPr>
                <w:rFonts w:hint="eastAsia"/>
                <w:color w:val="auto"/>
                <w:highlight w:val="none"/>
              </w:rPr>
              <w:t xml:space="preserve"> </w:t>
            </w:r>
            <w:r/>
          </w:p>
        </w:tc>
      </w:tr>
    </w:tbl>
    <w:p>
      <w:pPr>
        <w:pStyle w:val="932"/>
        <w:ind w:firstLine="480"/>
        <w:shd w:val="clear" w:color="auto"/>
        <w:rPr>
          <w:color w:val="auto"/>
          <w:highlight w:val="none"/>
        </w:rPr>
      </w:pPr>
      <w:r>
        <w:rPr>
          <w:rFonts w:hint="eastAsia"/>
          <w:color w:val="auto"/>
          <w:highlight w:val="none"/>
        </w:rPr>
        <w:t xml:space="preserve">注： 行数不够，可自行添加。</w:t>
      </w:r>
      <w:r/>
    </w:p>
    <w:p>
      <w:pPr>
        <w:pStyle w:val="932"/>
        <w:ind w:firstLine="480"/>
        <w:shd w:val="clear" w:color="auto"/>
        <w:rPr>
          <w:color w:val="auto"/>
          <w:highlight w:val="none"/>
        </w:rPr>
      </w:pPr>
      <w:r>
        <w:rPr>
          <w:rFonts w:hint="eastAsia"/>
          <w:color w:val="auto"/>
          <w:highlight w:val="none"/>
        </w:rPr>
        <w:t xml:space="preserve"> </w:t>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pStyle w:val="932"/>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color w:val="auto"/>
          <w:sz w:val="24"/>
          <w:highlight w:val="none"/>
        </w:rPr>
        <w:br w:type="page" w:clear="all"/>
      </w:r>
      <w:r>
        <w:rPr>
          <w:rFonts w:hint="eastAsia" w:ascii="黑体" w:hAnsi="黑体" w:eastAsia="黑体" w:cs="黑体"/>
          <w:i/>
          <w:color w:val="auto"/>
          <w:sz w:val="32"/>
          <w:szCs w:val="32"/>
          <w:highlight w:val="none"/>
          <w:u w:val="single"/>
          <w:lang w:val="en-US" w:eastAsia="zh-CN"/>
        </w:rPr>
        <w:t xml:space="preserve">十三、</w:t>
      </w:r>
      <w:r>
        <w:rPr>
          <w:rFonts w:hint="eastAsia" w:ascii="黑体" w:hAnsi="黑体" w:eastAsia="黑体" w:cs="黑体"/>
          <w:i/>
          <w:color w:val="auto"/>
          <w:sz w:val="32"/>
          <w:szCs w:val="32"/>
          <w:highlight w:val="none"/>
          <w:u w:val="single"/>
        </w:rPr>
        <w:t xml:space="preserve">商务要求响应及偏离表</w:t>
      </w:r>
      <w:r/>
    </w:p>
    <w:tbl>
      <w:tblPr>
        <w:tblStyle w:val="719"/>
        <w:tblW w:w="88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6"/>
        <w:gridCol w:w="2245"/>
        <w:gridCol w:w="2051"/>
        <w:gridCol w:w="2117"/>
        <w:gridCol w:w="1599"/>
      </w:tblGrid>
      <w:tr>
        <w:trPr>
          <w:jc w:val="center"/>
          <w:tblCellSpacing w:w="0" w:type="dxa"/>
          <w:trHeight w:val="109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2"/>
              <w:ind w:firstLine="0"/>
              <w:jc w:val="center"/>
              <w:spacing w:line="500" w:lineRule="exact"/>
              <w:shd w:val="clear" w:color="auto"/>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2"/>
              <w:ind w:firstLine="0"/>
              <w:jc w:val="center"/>
              <w:spacing w:line="500" w:lineRule="exact"/>
              <w:shd w:val="clear" w:color="auto"/>
              <w:rPr>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2"/>
              <w:ind w:firstLine="0"/>
              <w:jc w:val="center"/>
              <w:spacing w:line="500" w:lineRule="exact"/>
              <w:shd w:val="clear" w:color="auto"/>
              <w:rPr>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2"/>
              <w:ind w:firstLine="0"/>
              <w:jc w:val="center"/>
              <w:spacing w:line="500" w:lineRule="exact"/>
              <w:shd w:val="clear" w:color="auto"/>
              <w:rPr>
                <w:color w:val="auto"/>
                <w:szCs w:val="24"/>
                <w:highlight w:val="none"/>
              </w:rPr>
            </w:pPr>
            <w:r>
              <w:rPr>
                <w:rFonts w:hint="eastAsia"/>
                <w:color w:val="auto"/>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2"/>
              <w:ind w:firstLine="0"/>
              <w:jc w:val="center"/>
              <w:spacing w:line="500" w:lineRule="exact"/>
              <w:shd w:val="clear" w:color="auto"/>
              <w:rPr>
                <w:color w:val="auto"/>
                <w:szCs w:val="24"/>
                <w:highlight w:val="none"/>
              </w:rPr>
            </w:pPr>
            <w:r>
              <w:rPr>
                <w:rFonts w:hint="eastAsia"/>
                <w:color w:val="auto"/>
                <w:szCs w:val="24"/>
                <w:highlight w:val="none"/>
              </w:rPr>
              <w:t xml:space="preserve">证明材料</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2"/>
              <w:ind w:firstLine="480"/>
              <w:shd w:val="clear" w:color="auto"/>
              <w:rPr>
                <w:color w:val="auto"/>
                <w:highlight w:val="none"/>
              </w:rPr>
            </w:pPr>
            <w:r>
              <w:rPr>
                <w:color w:val="auto"/>
                <w:highlight w:val="none"/>
              </w:rPr>
              <w:t xml:space="preserve"> </w:t>
            </w:r>
            <w:r/>
          </w:p>
        </w:tc>
      </w:tr>
    </w:tbl>
    <w:p>
      <w:pPr>
        <w:pStyle w:val="932"/>
        <w:ind w:firstLine="480"/>
        <w:shd w:val="clear" w:color="auto"/>
        <w:rPr>
          <w:color w:val="auto"/>
          <w:highlight w:val="none"/>
        </w:rPr>
      </w:pPr>
      <w:r>
        <w:rPr>
          <w:rFonts w:hint="eastAsia"/>
          <w:color w:val="auto"/>
          <w:highlight w:val="none"/>
        </w:rPr>
        <w:t xml:space="preserve">注：行数不够，可自行添加。</w:t>
      </w:r>
      <w:r/>
    </w:p>
    <w:p>
      <w:pPr>
        <w:pStyle w:val="932"/>
        <w:ind w:firstLine="480"/>
        <w:shd w:val="clear" w:color="auto"/>
        <w:rPr>
          <w:color w:val="auto"/>
          <w:highlight w:val="none"/>
        </w:rPr>
      </w:pPr>
      <w:r>
        <w:rPr>
          <w:color w:val="auto"/>
          <w:highlight w:val="none"/>
        </w:rPr>
        <w:t xml:space="preserve"> </w:t>
      </w:r>
      <w:r/>
    </w:p>
    <w:p>
      <w:pPr>
        <w:pStyle w:val="932"/>
        <w:ind w:firstLine="480"/>
        <w:shd w:val="clear" w:color="auto"/>
        <w:rPr>
          <w:color w:val="auto"/>
          <w:highlight w:val="none"/>
        </w:rPr>
      </w:pPr>
      <w:r>
        <w:rPr>
          <w:color w:val="auto"/>
          <w:highlight w:val="none"/>
        </w:rPr>
        <w:t xml:space="preserve"> </w:t>
      </w:r>
      <w:r/>
    </w:p>
    <w:p>
      <w:pPr>
        <w:pStyle w:val="932"/>
        <w:ind w:firstLine="480"/>
        <w:shd w:val="clear" w:color="auto"/>
        <w:rPr>
          <w:color w:val="auto"/>
          <w:highlight w:val="none"/>
        </w:rPr>
      </w:pPr>
      <w:r>
        <w:rPr>
          <w:color w:val="auto"/>
          <w:highlight w:val="none"/>
        </w:rPr>
        <w:t xml:space="preserve"> </w:t>
      </w:r>
      <w:r/>
    </w:p>
    <w:p>
      <w:pPr>
        <w:pStyle w:val="932"/>
        <w:ind w:firstLine="480"/>
        <w:shd w:val="clear" w:color="auto"/>
        <w:rPr>
          <w:color w:val="auto"/>
          <w:highlight w:val="none"/>
        </w:rPr>
      </w:pPr>
      <w:r>
        <w:rPr>
          <w:color w:val="auto"/>
          <w:highlight w:val="none"/>
        </w:rPr>
        <w:t xml:space="preserve"> </w:t>
      </w:r>
      <w:r/>
    </w:p>
    <w:p>
      <w:pPr>
        <w:pStyle w:val="932"/>
        <w:ind w:firstLine="480"/>
        <w:shd w:val="clear" w:color="auto"/>
        <w:rPr>
          <w:color w:val="auto"/>
          <w:highlight w:val="none"/>
        </w:rPr>
      </w:pPr>
      <w:r>
        <w:rPr>
          <w:color w:val="auto"/>
          <w:highlight w:val="none"/>
        </w:rPr>
        <w:t xml:space="preserve"> </w:t>
      </w:r>
      <w:r/>
    </w:p>
    <w:p>
      <w:pPr>
        <w:ind w:firstLine="442"/>
        <w:jc w:val="center"/>
        <w:shd w:val="clear" w:color="auto"/>
        <w:rPr>
          <w:rFonts w:eastAsia="黑体"/>
          <w:color w:val="auto"/>
          <w:highlight w:val="none"/>
        </w:rPr>
      </w:pPr>
      <w:r>
        <w:rPr>
          <w:b/>
          <w:i/>
          <w:color w:val="auto"/>
          <w:highlight w:val="none"/>
          <w:u w:val="single"/>
        </w:rPr>
        <w:br w:type="page" w:clear="all"/>
      </w:r>
      <w:r>
        <w:rPr>
          <w:rFonts w:hint="eastAsia" w:ascii="黑体" w:hAnsi="黑体" w:eastAsia="黑体" w:cs="黑体"/>
          <w:i/>
          <w:color w:val="auto"/>
          <w:sz w:val="32"/>
          <w:szCs w:val="32"/>
          <w:highlight w:val="none"/>
          <w:u w:val="single"/>
        </w:rPr>
        <w:t xml:space="preserve">十四、开标一览表</w:t>
      </w:r>
      <w:r/>
    </w:p>
    <w:p>
      <w:pPr>
        <w:pStyle w:val="932"/>
        <w:ind w:firstLine="480"/>
        <w:spacing w:line="280" w:lineRule="exact"/>
        <w:shd w:val="clear" w:color="auto"/>
        <w:rPr>
          <w:rFonts w:hint="eastAsia"/>
          <w:color w:val="auto"/>
          <w:highlight w:val="none"/>
        </w:rPr>
      </w:pPr>
      <w:r>
        <w:rPr>
          <w:rFonts w:hint="eastAsia"/>
          <w:color w:val="auto"/>
          <w:highlight w:val="none"/>
        </w:rPr>
        <w:t xml:space="preserve">投标人全称（CA公章）：供应商名称 </w:t>
      </w:r>
      <w:r/>
    </w:p>
    <w:p>
      <w:pPr>
        <w:pStyle w:val="932"/>
        <w:ind w:firstLine="480"/>
        <w:spacing w:line="280" w:lineRule="exact"/>
        <w:rPr>
          <w:rFonts w:hint="eastAsia" w:eastAsiaTheme="minorEastAsia"/>
          <w:highlight w:val="none"/>
          <w:lang w:eastAsia="zh-CN"/>
        </w:rPr>
      </w:pPr>
      <w:r>
        <w:rPr>
          <w:rFonts w:hint="eastAsia"/>
          <w:color w:val="auto"/>
          <w:highlight w:val="none"/>
        </w:rPr>
        <w:t xml:space="preserve">项目名称：</w:t>
      </w:r>
      <w:r>
        <w:rPr>
          <w:rFonts w:hint="eastAsia"/>
          <w:highlight w:val="none"/>
          <w:lang w:eastAsia="zh-CN"/>
        </w:rPr>
        <w:t xml:space="preserve">2025年盐城市第一中学物业管理服务项目</w:t>
      </w:r>
      <w:r/>
    </w:p>
    <w:p>
      <w:pPr>
        <w:pStyle w:val="932"/>
        <w:ind w:firstLine="480"/>
        <w:spacing w:line="280" w:lineRule="exact"/>
        <w:shd w:val="clear" w:color="auto"/>
        <w:rPr>
          <w:rFonts w:hint="eastAsia" w:eastAsiaTheme="minorEastAsia"/>
          <w:color w:val="auto"/>
          <w:highlight w:val="none"/>
          <w:lang w:val="en-US" w:eastAsia="zh-CN"/>
        </w:rPr>
      </w:pPr>
      <w:r>
        <w:rPr>
          <w:rFonts w:hint="eastAsia"/>
          <w:color w:val="auto"/>
          <w:highlight w:val="none"/>
        </w:rPr>
        <w:t xml:space="preserve">项目编号：</w:t>
      </w:r>
      <w:r/>
    </w:p>
    <w:p>
      <w:pPr>
        <w:pStyle w:val="932"/>
        <w:ind w:firstLine="480"/>
        <w:spacing w:line="280" w:lineRule="exact"/>
        <w:shd w:val="clear" w:color="auto"/>
        <w:rPr>
          <w:color w:val="auto"/>
          <w:highlight w:val="none"/>
        </w:rPr>
      </w:pPr>
      <w:r>
        <w:rPr>
          <w:rFonts w:hint="eastAsia"/>
          <w:color w:val="auto"/>
          <w:highlight w:val="none"/>
        </w:rPr>
        <w:t xml:space="preserve">分包号：/</w:t>
      </w:r>
      <w:r/>
    </w:p>
    <w:tbl>
      <w:tblPr>
        <w:tblStyle w:val="719"/>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932"/>
              <w:ind w:firstLine="0"/>
              <w:jc w:val="center"/>
              <w:spacing w:line="240" w:lineRule="auto"/>
              <w:shd w:val="clear" w:color="auto"/>
              <w:rPr>
                <w:color w:val="auto"/>
                <w:highlight w:val="none"/>
              </w:rPr>
            </w:pPr>
            <w:r>
              <w:rPr>
                <w:rFonts w:hint="eastAsia"/>
                <w:color w:val="auto"/>
                <w:highlight w:val="none"/>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932"/>
              <w:ind w:firstLine="0"/>
              <w:shd w:val="clear" w:color="auto"/>
              <w:rPr>
                <w:color w:val="auto"/>
                <w:highlight w:val="none"/>
              </w:rPr>
            </w:pPr>
            <w:r>
              <w:rPr>
                <w:rFonts w:hint="eastAsia"/>
                <w:color w:val="auto"/>
                <w:highlight w:val="none"/>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0"/>
              <w:spacing w:line="33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报价（大写）：</w:t>
            </w:r>
            <w:r>
              <w:rPr>
                <w:rFonts w:ascii="宋体" w:hAnsi="宋体" w:eastAsia="宋体" w:cs="宋体"/>
                <w:sz w:val="24"/>
                <w:szCs w:val="24"/>
                <w:highlight w:val="none"/>
              </w:rPr>
              <w:t xml:space="preserve">金额大写</w:t>
            </w:r>
            <w:r/>
          </w:p>
        </w:tc>
      </w:tr>
    </w:tbl>
    <w:p>
      <w:pPr>
        <w:pStyle w:val="932"/>
        <w:ind w:firstLine="480"/>
        <w:shd w:val="clear" w:color="auto"/>
        <w:rPr>
          <w:color w:val="auto"/>
          <w:highlight w:val="none"/>
        </w:rPr>
      </w:pPr>
      <w:r>
        <w:rPr>
          <w:rFonts w:hint="eastAsia"/>
          <w:color w:val="auto"/>
          <w:highlight w:val="none"/>
        </w:rPr>
        <w:t xml:space="preserve"> </w:t>
      </w:r>
      <w:r/>
    </w:p>
    <w:p>
      <w:pPr>
        <w:pStyle w:val="932"/>
        <w:ind w:firstLine="480"/>
        <w:jc w:val="right"/>
        <w:shd w:val="clear" w:color="auto"/>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932"/>
        <w:ind w:firstLine="480"/>
        <w:shd w:val="clear" w:color="auto"/>
        <w:rPr>
          <w:color w:val="auto"/>
          <w:highlight w:val="none"/>
        </w:rPr>
      </w:pPr>
      <w:r>
        <w:rPr>
          <w:rFonts w:hint="eastAsia"/>
          <w:color w:val="auto"/>
          <w:highlight w:val="none"/>
        </w:rPr>
        <w:t xml:space="preserve"> </w:t>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firstLine="0"/>
        <w:jc w:val="center"/>
        <w:shd w:val="clear" w:color="auto"/>
        <w:rPr>
          <w:rFonts w:ascii="黑体" w:hAnsi="黑体" w:eastAsia="黑体" w:cs="黑体"/>
          <w:bCs/>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十五、服务方案等</w:t>
      </w:r>
      <w:r/>
    </w:p>
    <w:p>
      <w:pPr>
        <w:ind w:firstLine="480"/>
        <w:spacing w:line="560" w:lineRule="exact"/>
        <w:shd w:val="clear" w:color="auto"/>
        <w:widowControl/>
        <w:rPr>
          <w:b/>
          <w:bCs/>
          <w:i/>
          <w:color w:val="auto"/>
          <w:sz w:val="24"/>
          <w:highlight w:val="none"/>
        </w:rPr>
      </w:pPr>
      <w:r>
        <w:rPr>
          <w:b/>
          <w:bCs/>
          <w:i/>
          <w:color w:val="auto"/>
          <w:sz w:val="24"/>
          <w:highlight w:val="none"/>
        </w:rPr>
      </w:r>
      <w:r/>
    </w:p>
    <w:p>
      <w:pPr>
        <w:jc w:val="both"/>
        <w:spacing w:line="560" w:lineRule="exact"/>
        <w:shd w:val="clear" w:color="auto"/>
        <w:rPr>
          <w:rFonts w:ascii="Calibri" w:hAnsi="Calibri" w:cs="Times New Roman"/>
          <w:color w:val="auto"/>
          <w:sz w:val="24"/>
          <w:szCs w:val="24"/>
          <w:highlight w:val="none"/>
        </w:rPr>
      </w:pPr>
      <w:r>
        <w:rPr>
          <w:rFonts w:ascii="Calibri" w:hAnsi="Calibri" w:cs="Times New Roman"/>
          <w:color w:val="auto"/>
          <w:sz w:val="24"/>
          <w:szCs w:val="24"/>
          <w:highlight w:val="none"/>
        </w:rPr>
      </w:r>
      <w:r/>
    </w:p>
    <w:p>
      <w:pPr>
        <w:jc w:val="both"/>
        <w:shd w:val="clear" w:color="auto"/>
        <w:rPr>
          <w:rFonts w:ascii="Calibri" w:hAnsi="Calibri" w:cs="Times New Roman"/>
          <w:color w:val="auto"/>
          <w:sz w:val="24"/>
          <w:szCs w:val="24"/>
          <w:highlight w:val="none"/>
        </w:rPr>
      </w:pPr>
      <w:r>
        <w:rPr>
          <w:rFonts w:ascii="Calibri" w:hAnsi="Calibri" w:cs="Times New Roman"/>
          <w:color w:val="auto"/>
          <w:sz w:val="24"/>
          <w:szCs w:val="24"/>
          <w:highlight w:val="none"/>
        </w:rPr>
      </w:r>
      <w:r/>
    </w:p>
    <w:p>
      <w:pPr>
        <w:jc w:val="both"/>
        <w:shd w:val="clear" w:color="auto"/>
        <w:rPr>
          <w:rFonts w:ascii="Calibri" w:hAnsi="Calibri" w:cs="Times New Roman"/>
          <w:color w:val="auto"/>
          <w:sz w:val="24"/>
          <w:szCs w:val="24"/>
          <w:highlight w:val="none"/>
        </w:rPr>
      </w:pPr>
      <w:r>
        <w:rPr>
          <w:rFonts w:ascii="Calibri" w:hAnsi="Calibri" w:cs="Times New Roman"/>
          <w:color w:val="auto"/>
          <w:sz w:val="24"/>
          <w:szCs w:val="24"/>
          <w:highlight w:val="none"/>
        </w:rPr>
      </w:r>
      <w:r/>
    </w:p>
    <w:p>
      <w:pPr>
        <w:jc w:val="both"/>
        <w:shd w:val="clear" w:color="auto"/>
        <w:rPr>
          <w:rFonts w:ascii="Calibri" w:hAnsi="Calibri" w:cs="Times New Roman"/>
          <w:color w:val="auto"/>
          <w:sz w:val="24"/>
          <w:szCs w:val="24"/>
          <w:highlight w:val="none"/>
        </w:rPr>
      </w:pPr>
      <w:r>
        <w:rPr>
          <w:rFonts w:ascii="Calibri" w:hAnsi="Calibri" w:cs="Times New Roman"/>
          <w:color w:val="auto"/>
          <w:sz w:val="24"/>
          <w:szCs w:val="24"/>
          <w:highlight w:val="none"/>
        </w:rPr>
      </w:r>
      <w:r/>
    </w:p>
    <w:p>
      <w:pPr>
        <w:ind w:firstLine="440"/>
        <w:shd w:val="clear" w:color="auto"/>
        <w:rPr>
          <w:color w:val="auto"/>
          <w:highlight w:val="none"/>
        </w:rPr>
      </w:pPr>
      <w:r>
        <w:rPr>
          <w:color w:val="auto"/>
          <w:highlight w:val="none"/>
        </w:rPr>
      </w:r>
      <w:r/>
    </w:p>
    <w:p>
      <w:pPr>
        <w:ind w:firstLine="440"/>
        <w:jc w:val="center"/>
        <w:shd w:val="clear" w:color="auto"/>
        <w:rPr>
          <w:color w:val="auto"/>
          <w:highlight w:val="none"/>
        </w:rPr>
      </w:pPr>
      <w:r/>
      <w:bookmarkStart w:id="187" w:name="_Hlt26955054"/>
      <w:r/>
      <w:bookmarkEnd w:id="187"/>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十六、盐城市政府采购事前信用承诺书</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为营造我市公开、公平、公正、诚实守信的政府采购交易环境，树立诚信守法的投标人形象，本人代表本单位作出以下承诺：</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（三）严格依照国家和省、市关于政府采购的法律、法规、规章、规范性文件，参加政府采购投标活动；积极履行社会责任，促进廉政建设； </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（四）严格遵守即时信息公示规定，及时维护和更新盐城市政府采购网中与本单位相关的信息；</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（六）自觉接受政府、行业组织、社会公众、新闻舆论的监督；</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（八）本人已认真阅读了上述承诺，并向本单位员工作了宣传教育。</w:t>
      </w:r>
      <w:r/>
    </w:p>
    <w:p>
      <w:pPr>
        <w:ind w:firstLine="440"/>
        <w:spacing w:line="520" w:lineRule="exact"/>
        <w:shd w:val="clear" w:color="auto"/>
        <w:widowControl/>
        <w:rPr>
          <w:rFonts w:hint="eastAsia"/>
          <w:color w:val="auto"/>
          <w:sz w:val="24"/>
          <w:szCs w:val="24"/>
          <w:highlight w:val="none"/>
        </w:rPr>
      </w:pPr>
      <w:r>
        <w:rPr>
          <w:rFonts w:hint="eastAsia"/>
          <w:color w:val="auto"/>
          <w:sz w:val="24"/>
          <w:szCs w:val="24"/>
          <w:highlight w:val="none"/>
        </w:rPr>
        <w:t xml:space="preserve">                </w:t>
      </w:r>
      <w:r/>
    </w:p>
    <w:p>
      <w:pPr>
        <w:ind w:firstLine="440"/>
        <w:jc w:val="right"/>
        <w:spacing w:line="520" w:lineRule="exact"/>
        <w:shd w:val="clear" w:color="auto"/>
        <w:widowControl/>
        <w:rPr>
          <w:rFonts w:hint="eastAsia"/>
          <w:color w:val="auto"/>
          <w:sz w:val="24"/>
          <w:szCs w:val="24"/>
          <w:highlight w:val="none"/>
        </w:rPr>
      </w:pPr>
      <w:r>
        <w:rPr>
          <w:rFonts w:hint="eastAsia"/>
          <w:color w:val="auto"/>
          <w:sz w:val="24"/>
          <w:szCs w:val="24"/>
          <w:highlight w:val="none"/>
        </w:rPr>
        <w:t xml:space="preserve"> 法定代表人（签名）：          </w:t>
      </w:r>
      <w:r/>
    </w:p>
    <w:p>
      <w:pPr>
        <w:ind w:firstLine="440"/>
        <w:jc w:val="right"/>
        <w:spacing w:line="520" w:lineRule="exact"/>
        <w:shd w:val="clear" w:color="auto"/>
        <w:widowControl/>
        <w:rPr>
          <w:rFonts w:hint="eastAsia"/>
          <w:color w:val="auto"/>
          <w:sz w:val="24"/>
          <w:szCs w:val="24"/>
          <w:highlight w:val="none"/>
        </w:rPr>
      </w:pPr>
      <w:r>
        <w:rPr>
          <w:rFonts w:hint="eastAsia"/>
          <w:color w:val="auto"/>
          <w:sz w:val="24"/>
          <w:szCs w:val="24"/>
          <w:highlight w:val="none"/>
        </w:rPr>
        <w:t xml:space="preserve">单位名称（盖章）：          </w:t>
      </w:r>
      <w:r/>
    </w:p>
    <w:p>
      <w:pPr>
        <w:ind w:firstLine="440"/>
        <w:spacing w:line="520" w:lineRule="exact"/>
        <w:shd w:val="clear" w:color="auto"/>
        <w:widowControl/>
        <w:rPr>
          <w:rFonts w:hint="eastAsia"/>
          <w:color w:val="auto"/>
          <w:sz w:val="24"/>
          <w:szCs w:val="24"/>
          <w:highlight w:val="none"/>
        </w:rPr>
      </w:pPr>
      <w:r>
        <w:rPr>
          <w:rFonts w:hint="eastAsia"/>
          <w:color w:val="auto"/>
          <w:sz w:val="24"/>
          <w:szCs w:val="24"/>
          <w:highlight w:val="none"/>
        </w:rPr>
        <w:t xml:space="preserve">                                                       年   月   日</w:t>
      </w:r>
      <w:r/>
    </w:p>
    <w:p>
      <w:pPr>
        <w:ind w:firstLine="440"/>
        <w:shd w:val="clear" w:color="auto"/>
        <w:rPr>
          <w:color w:val="auto"/>
          <w:sz w:val="24"/>
          <w:szCs w:val="24"/>
          <w:highlight w:val="none"/>
        </w:rPr>
      </w:pPr>
      <w:r>
        <w:rPr>
          <w:rFonts w:hint="eastAsia"/>
          <w:color w:val="auto"/>
          <w:sz w:val="24"/>
          <w:szCs w:val="24"/>
          <w:highlight w:val="none"/>
        </w:rPr>
        <w:br w:type="page" w:clear="all"/>
      </w:r>
      <w:bookmarkEnd w:id="24"/>
      <w:r/>
      <w:bookmarkEnd w:id="43"/>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14"/>
      <w:r/>
      <w:bookmarkEnd w:id="115"/>
      <w:r/>
      <w:bookmarkEnd w:id="116"/>
      <w:r/>
      <w:bookmarkEnd w:id="121"/>
      <w:r/>
      <w:bookmarkEnd w:id="122"/>
      <w:r/>
      <w:bookmarkEnd w:id="129"/>
      <w:r/>
      <w:bookmarkEnd w:id="171"/>
      <w:r/>
      <w:bookmarkEnd w:id="183"/>
      <w:r/>
      <w:bookmarkEnd w:id="184"/>
      <w:r/>
      <w:r/>
    </w:p>
    <w:p>
      <w:pPr>
        <w:pStyle w:val="932"/>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质疑函范本</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44"/>
        <w:ind w:left="120" w:firstLine="36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44"/>
        <w:ind w:firstLine="480"/>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44"/>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44"/>
        <w:ind w:firstLine="482"/>
        <w:jc w:val="both"/>
        <w:spacing w:beforeAutospacing="0" w:afterAutospacing="0" w:line="500" w:lineRule="exact"/>
        <w:shd w:val="clear" w:color="auto"/>
        <w:rPr>
          <w:rFonts w:ascii="宋体" w:hAnsi="宋体" w:eastAsia="宋体" w:cs="宋体"/>
          <w:b/>
          <w:color w:val="auto"/>
          <w:highlight w:val="none"/>
        </w:rPr>
      </w:pPr>
      <w:r>
        <w:rPr>
          <w:rFonts w:ascii="宋体" w:hAnsi="宋体" w:eastAsia="宋体" w:cs="宋体"/>
          <w:b/>
          <w:color w:val="auto"/>
          <w:highlight w:val="none"/>
        </w:rPr>
      </w:r>
      <w:r/>
    </w:p>
    <w:p>
      <w:pPr>
        <w:pStyle w:val="744"/>
        <w:ind w:firstLine="482"/>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44"/>
        <w:ind w:firstLine="480"/>
        <w:spacing w:beforeAutospacing="0" w:afterAutospacing="0" w:line="500" w:lineRule="exact"/>
        <w:shd w:val="clear" w:color="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44"/>
        <w:ind w:firstLine="480"/>
        <w:spacing w:beforeAutospacing="0" w:afterAutospacing="0" w:line="500" w:lineRule="exact"/>
        <w:shd w:val="clear" w:color="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4"/>
        <w:ind w:firstLine="480"/>
        <w:spacing w:beforeAutospacing="0" w:afterAutospacing="0" w:line="500" w:lineRule="exact"/>
        <w:shd w:val="clear" w:color="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44"/>
        <w:ind w:firstLine="480"/>
        <w:spacing w:beforeAutospacing="0" w:afterAutospacing="0" w:line="500" w:lineRule="exact"/>
        <w:shd w:val="clear" w:color="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44"/>
        <w:ind w:firstLine="480"/>
        <w:spacing w:beforeAutospacing="0" w:afterAutospacing="0" w:line="500" w:lineRule="exact"/>
        <w:shd w:val="clear" w:color="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44"/>
        <w:ind w:firstLine="480"/>
        <w:spacing w:beforeAutospacing="0" w:afterAutospacing="0" w:line="500" w:lineRule="exact"/>
        <w:shd w:val="clear" w:color="auto"/>
        <w:widowControl/>
        <w:rPr>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6" w:h="16838" w:orient="portrait"/>
      <w:pgMar w:top="1440" w:right="1633" w:bottom="1440" w:left="163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sans-serif">
    <w:panose1 w:val="020B0503020202020204"/>
  </w:font>
  <w:font w:name="Tahoma">
    <w:panose1 w:val="020B0604030504040204"/>
  </w:font>
  <w:font w:name="等线">
    <w:panose1 w:val="02010600030101010101"/>
  </w:font>
  <w:font w:name="黑体">
    <w:panose1 w:val="02010609060101010101"/>
  </w:font>
  <w:font w:name="仿宋_GB2312">
    <w:panose1 w:val="02010609060101010101"/>
  </w:font>
  <w:font w:name="PingFang SC">
    <w:panose1 w:val="020B0503020202020204"/>
  </w:font>
  <w:font w:name="Courier New">
    <w:panose1 w:val="02070309020205020404"/>
  </w:font>
  <w:font w:name="楷体_GB2312">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3055" cy="1568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13055" cy="1568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3"/>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text-anchor:top;visibility:visible;" filled="f" stroked="f" strokeweight="0.50pt">
              <v:textbox inset="0,0,0,0">
                <w:txbxContent>
                  <w:p>
                    <w:pPr>
                      <w:pStyle w:val="73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4810" cy="1568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84810" cy="1568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3"/>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0.3pt;height:12.3pt;mso-wrap-distance-left:9.0pt;mso-wrap-distance-top:0.0pt;mso-wrap-distance-right:9.0pt;mso-wrap-distance-bottom:0.0pt;v-text-anchor:top;visibility:visible;" filled="f" stroked="f" strokeweight="0.50pt">
              <v:textbox inset="0,0,0,0">
                <w:txbxContent>
                  <w:p>
                    <w:pPr>
                      <w:pStyle w:val="73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600"/>
      <w:spacing w:line="400" w:lineRule="exact"/>
      <w:rPr>
        <w:b w:val="0"/>
        <w:bCs w:val="0"/>
      </w:rPr>
    </w:pPr>
    <w:r>
      <w:rPr>
        <w:rFonts w:eastAsia="隶书"/>
        <w:b w:val="0"/>
        <w:bCs w:val="0"/>
        <w:spacing w:val="40"/>
        <w:sz w:val="22"/>
        <w:szCs w:val="22"/>
      </w:rPr>
      <w:t xml:space="preserve">盐城市政府采购</w:t>
    </w:r>
    <w:r>
      <w:rPr>
        <w:rFonts w:hint="eastAsia"/>
        <w:b w:val="0"/>
        <w:bCs w:val="0"/>
        <w:sz w:val="22"/>
        <w:szCs w:val="22"/>
      </w:rPr>
      <w:t xml:space="preserve">（</w:t>
    </w:r>
    <w:r>
      <w:rPr>
        <w:rFonts w:eastAsia="隶书"/>
        <w:b w:val="0"/>
        <w:bCs w:val="0"/>
        <w:spacing w:val="40"/>
        <w:sz w:val="22"/>
        <w:szCs w:val="22"/>
      </w:rPr>
      <w:t xml:space="preserve">JSZC-320900-JZCG-G2025-0056</w:t>
    </w:r>
    <w:r>
      <w:rPr>
        <w:rFonts w:hint="eastAsia"/>
        <w:b w:val="0"/>
        <w:bCs w:val="0"/>
        <w:sz w:val="22"/>
        <w:szCs w:val="22"/>
      </w:rPr>
      <w:t xml:space="preserve">）</w:t>
    </w:r>
    <w:r>
      <w:rPr>
        <w:rFonts w:eastAsia="隶书"/>
        <w:b w:val="0"/>
        <w:bCs w:val="0"/>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600"/>
      <w:spacing w:line="400" w:lineRule="exact"/>
      <w:rPr>
        <w:lang w:eastAsia="zh-CN"/>
      </w:rPr>
    </w:pPr>
    <w:r>
      <w:rPr>
        <w:rFonts w:eastAsia="隶书"/>
        <w:b w:val="0"/>
        <w:bCs w:val="0"/>
        <w:spacing w:val="40"/>
        <w:sz w:val="22"/>
        <w:szCs w:val="22"/>
      </w:rPr>
      <w:t xml:space="preserve">盐城市政府采购</w:t>
    </w:r>
    <w:r>
      <w:rPr>
        <w:rFonts w:hint="eastAsia"/>
        <w:b w:val="0"/>
        <w:bCs w:val="0"/>
        <w:sz w:val="22"/>
        <w:szCs w:val="22"/>
      </w:rPr>
      <w:t xml:space="preserve">（</w:t>
    </w:r>
    <w:r>
      <w:rPr>
        <w:rFonts w:eastAsia="隶书"/>
        <w:b w:val="0"/>
        <w:bCs w:val="0"/>
        <w:spacing w:val="40"/>
        <w:sz w:val="22"/>
        <w:szCs w:val="22"/>
      </w:rPr>
      <w:t xml:space="preserve">JSZC-320900-JZCG-G2025-0056</w:t>
    </w:r>
    <w:r>
      <w:rPr>
        <w:rFonts w:hint="eastAsia"/>
        <w:b w:val="0"/>
        <w:bCs w:val="0"/>
        <w:sz w:val="22"/>
        <w:szCs w:val="22"/>
      </w:rPr>
      <w:t xml:space="preserve">）</w:t>
    </w:r>
    <w:r>
      <w:rPr>
        <w:rFonts w:eastAsia="隶书"/>
        <w:b w:val="0"/>
        <w:bCs w:val="0"/>
        <w:spacing w:val="40"/>
        <w:sz w:val="22"/>
        <w:szCs w:val="22"/>
      </w:rPr>
      <w:t xml:space="preserve">招标文件</w:t>
    </w:r>
    <w:r/>
  </w:p>
  <w:p>
    <w:pPr>
      <w:pStyle w:val="724"/>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09">
    <w:name w:val="Heading 1"/>
    <w:basedOn w:val="708"/>
    <w:next w:val="708"/>
    <w:link w:val="775"/>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5"/>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6"/>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76"/>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77"/>
    <w:uiPriority w:val="9"/>
    <w:unhideWhenUsed/>
    <w:qFormat/>
    <w:pPr>
      <w:keepLines/>
      <w:keepNext/>
      <w:spacing w:before="320" w:after="200"/>
      <w:outlineLvl w:val="4"/>
    </w:pPr>
    <w:rPr>
      <w:rFonts w:ascii="Arial" w:hAnsi="Arial" w:eastAsia="Arial" w:cs="Arial"/>
      <w:b/>
      <w:bCs/>
      <w:sz w:val="24"/>
    </w:rPr>
  </w:style>
  <w:style w:type="paragraph" w:styleId="714">
    <w:name w:val="Heading 6"/>
    <w:basedOn w:val="708"/>
    <w:next w:val="708"/>
    <w:link w:val="77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80"/>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81"/>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customStyle="1">
    <w:name w:val="Default"/>
    <w:basedOn w:val="708"/>
    <w:uiPriority w:val="0"/>
    <w:semiHidden/>
    <w:qFormat/>
    <w:pPr>
      <w:jc w:val="left"/>
    </w:pPr>
    <w:rPr>
      <w:rFonts w:ascii="宋体" w:hAnsi="Calibri" w:cs="宋体"/>
      <w:color w:val="000000"/>
      <w:sz w:val="24"/>
    </w:rPr>
  </w:style>
  <w:style w:type="paragraph" w:styleId="721">
    <w:name w:val="toc 7"/>
    <w:basedOn w:val="708"/>
    <w:next w:val="708"/>
    <w:uiPriority w:val="39"/>
    <w:unhideWhenUsed/>
    <w:qFormat/>
    <w:pPr>
      <w:ind w:left="1701"/>
      <w:spacing w:after="57"/>
    </w:pPr>
  </w:style>
  <w:style w:type="paragraph" w:styleId="722">
    <w:name w:val="Caption"/>
    <w:basedOn w:val="708"/>
    <w:next w:val="70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3">
    <w:name w:val="annotation text"/>
    <w:basedOn w:val="708"/>
    <w:uiPriority w:val="99"/>
    <w:semiHidden/>
    <w:unhideWhenUsed/>
    <w:qFormat/>
    <w:pPr>
      <w:jc w:val="left"/>
    </w:pPr>
  </w:style>
  <w:style w:type="paragraph" w:styleId="724">
    <w:name w:val="Body Text"/>
    <w:basedOn w:val="708"/>
    <w:link w:val="923"/>
    <w:uiPriority w:val="0"/>
    <w:unhideWhenUsed/>
    <w:qFormat/>
    <w:pPr>
      <w:spacing w:after="120"/>
    </w:pPr>
    <w:rPr>
      <w:rFonts w:ascii="Times New Roman" w:hAnsi="Times New Roman" w:eastAsia="宋体" w:cs="Times New Roman"/>
      <w:szCs w:val="21"/>
    </w:rPr>
  </w:style>
  <w:style w:type="paragraph" w:styleId="725">
    <w:name w:val="Body Text Indent"/>
    <w:basedOn w:val="708"/>
    <w:uiPriority w:val="0"/>
    <w:qFormat/>
    <w:pPr>
      <w:ind w:firstLine="645"/>
    </w:pPr>
    <w:rPr>
      <w:rFonts w:ascii="楷体_GB2312" w:eastAsia="楷体_GB2312"/>
      <w:sz w:val="32"/>
      <w:szCs w:val="32"/>
    </w:rPr>
  </w:style>
  <w:style w:type="paragraph" w:styleId="726">
    <w:name w:val="Block Text"/>
    <w:basedOn w:val="708"/>
    <w:uiPriority w:val="99"/>
    <w:qFormat/>
    <w:pPr>
      <w:ind w:left="1440" w:right="1440"/>
      <w:spacing w:after="120"/>
      <w:tabs>
        <w:tab w:val="left" w:pos="9000" w:leader="none"/>
      </w:tabs>
    </w:pPr>
    <w:rPr>
      <w:rFonts w:ascii="Times New Roman" w:hAnsi="Times New Roman"/>
    </w:rPr>
  </w:style>
  <w:style w:type="paragraph" w:styleId="727">
    <w:name w:val="toc 5"/>
    <w:basedOn w:val="708"/>
    <w:next w:val="708"/>
    <w:uiPriority w:val="39"/>
    <w:unhideWhenUsed/>
    <w:qFormat/>
    <w:pPr>
      <w:ind w:left="1134"/>
      <w:spacing w:after="57"/>
    </w:pPr>
  </w:style>
  <w:style w:type="paragraph" w:styleId="728">
    <w:name w:val="toc 3"/>
    <w:basedOn w:val="708"/>
    <w:next w:val="708"/>
    <w:uiPriority w:val="39"/>
    <w:unhideWhenUsed/>
    <w:qFormat/>
    <w:pPr>
      <w:ind w:left="567"/>
      <w:spacing w:after="57"/>
    </w:pPr>
  </w:style>
  <w:style w:type="paragraph" w:styleId="729">
    <w:name w:val="Plain Text"/>
    <w:basedOn w:val="708"/>
    <w:uiPriority w:val="99"/>
    <w:qFormat/>
    <w:rPr>
      <w:rFonts w:ascii="宋体" w:hAnsi="Courier New" w:cs="Courier New"/>
    </w:rPr>
  </w:style>
  <w:style w:type="paragraph" w:styleId="730">
    <w:name w:val="toc 8"/>
    <w:basedOn w:val="708"/>
    <w:next w:val="708"/>
    <w:uiPriority w:val="39"/>
    <w:unhideWhenUsed/>
    <w:qFormat/>
    <w:pPr>
      <w:ind w:left="1984"/>
      <w:spacing w:after="57"/>
    </w:pPr>
  </w:style>
  <w:style w:type="paragraph" w:styleId="731">
    <w:name w:val="endnote text"/>
    <w:basedOn w:val="708"/>
    <w:link w:val="919"/>
    <w:uiPriority w:val="99"/>
    <w:semiHidden/>
    <w:unhideWhenUsed/>
    <w:qFormat/>
    <w:rPr>
      <w:sz w:val="20"/>
    </w:rPr>
  </w:style>
  <w:style w:type="paragraph" w:styleId="732">
    <w:name w:val="Balloon Text"/>
    <w:basedOn w:val="708"/>
    <w:link w:val="940"/>
    <w:uiPriority w:val="99"/>
    <w:semiHidden/>
    <w:unhideWhenUsed/>
    <w:qFormat/>
    <w:rPr>
      <w:sz w:val="18"/>
      <w:szCs w:val="18"/>
    </w:rPr>
  </w:style>
  <w:style w:type="paragraph" w:styleId="733">
    <w:name w:val="Footer"/>
    <w:basedOn w:val="708"/>
    <w:link w:val="792"/>
    <w:uiPriority w:val="0"/>
    <w:qFormat/>
    <w:pPr>
      <w:jc w:val="left"/>
      <w:tabs>
        <w:tab w:val="center" w:pos="4153" w:leader="none"/>
        <w:tab w:val="right" w:pos="8306" w:leader="none"/>
      </w:tabs>
    </w:pPr>
    <w:rPr>
      <w:sz w:val="18"/>
    </w:rPr>
  </w:style>
  <w:style w:type="paragraph" w:styleId="734">
    <w:name w:val="Header"/>
    <w:basedOn w:val="708"/>
    <w:link w:val="79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5">
    <w:name w:val="toc 1"/>
    <w:basedOn w:val="708"/>
    <w:next w:val="708"/>
    <w:uiPriority w:val="39"/>
    <w:unhideWhenUsed/>
    <w:qFormat/>
    <w:pPr>
      <w:spacing w:after="57"/>
    </w:pPr>
  </w:style>
  <w:style w:type="paragraph" w:styleId="736">
    <w:name w:val="toc 4"/>
    <w:basedOn w:val="708"/>
    <w:next w:val="708"/>
    <w:uiPriority w:val="39"/>
    <w:unhideWhenUsed/>
    <w:qFormat/>
    <w:pPr>
      <w:ind w:left="850"/>
      <w:spacing w:after="57"/>
    </w:pPr>
  </w:style>
  <w:style w:type="paragraph" w:styleId="737">
    <w:name w:val="Subtitle"/>
    <w:basedOn w:val="708"/>
    <w:next w:val="708"/>
    <w:link w:val="785"/>
    <w:uiPriority w:val="11"/>
    <w:qFormat/>
    <w:pPr>
      <w:spacing w:before="200" w:after="200"/>
    </w:pPr>
    <w:rPr>
      <w:sz w:val="24"/>
    </w:rPr>
  </w:style>
  <w:style w:type="paragraph" w:styleId="738">
    <w:name w:val="footnote text"/>
    <w:basedOn w:val="708"/>
    <w:link w:val="918"/>
    <w:uiPriority w:val="99"/>
    <w:semiHidden/>
    <w:unhideWhenUsed/>
    <w:qFormat/>
    <w:pPr>
      <w:spacing w:after="40"/>
    </w:pPr>
    <w:rPr>
      <w:sz w:val="18"/>
    </w:rPr>
  </w:style>
  <w:style w:type="paragraph" w:styleId="739">
    <w:name w:val="toc 6"/>
    <w:basedOn w:val="708"/>
    <w:next w:val="708"/>
    <w:uiPriority w:val="39"/>
    <w:unhideWhenUsed/>
    <w:qFormat/>
    <w:pPr>
      <w:ind w:left="1417"/>
      <w:spacing w:after="57"/>
    </w:pPr>
  </w:style>
  <w:style w:type="paragraph" w:styleId="740">
    <w:name w:val="Body Text Indent 3"/>
    <w:basedOn w:val="708"/>
    <w:uiPriority w:val="0"/>
    <w:qFormat/>
    <w:pPr>
      <w:ind w:left="645" w:firstLine="645"/>
    </w:pPr>
    <w:rPr>
      <w:rFonts w:ascii="Arial" w:hAnsi="Arial" w:eastAsia="仿宋_GB2312" w:cs="Arial"/>
      <w:color w:val="ffff00"/>
      <w:sz w:val="32"/>
      <w:szCs w:val="32"/>
    </w:rPr>
  </w:style>
  <w:style w:type="paragraph" w:styleId="741">
    <w:name w:val="table of figures"/>
    <w:basedOn w:val="708"/>
    <w:next w:val="708"/>
    <w:uiPriority w:val="99"/>
    <w:unhideWhenUsed/>
    <w:qFormat/>
  </w:style>
  <w:style w:type="paragraph" w:styleId="742">
    <w:name w:val="toc 2"/>
    <w:basedOn w:val="708"/>
    <w:next w:val="708"/>
    <w:uiPriority w:val="39"/>
    <w:unhideWhenUsed/>
    <w:qFormat/>
    <w:pPr>
      <w:ind w:left="283"/>
      <w:spacing w:after="57"/>
    </w:pPr>
  </w:style>
  <w:style w:type="paragraph" w:styleId="743">
    <w:name w:val="toc 9"/>
    <w:basedOn w:val="708"/>
    <w:next w:val="708"/>
    <w:uiPriority w:val="39"/>
    <w:unhideWhenUsed/>
    <w:qFormat/>
    <w:pPr>
      <w:ind w:left="2268"/>
      <w:spacing w:after="57"/>
    </w:pPr>
  </w:style>
  <w:style w:type="paragraph" w:styleId="744">
    <w:name w:val="Normal (Web)"/>
    <w:basedOn w:val="708"/>
    <w:uiPriority w:val="0"/>
    <w:qFormat/>
    <w:pPr>
      <w:jc w:val="left"/>
      <w:spacing w:beforeAutospacing="1" w:afterAutospacing="1"/>
    </w:pPr>
    <w:rPr>
      <w:rFonts w:cs="Times New Roman"/>
      <w:sz w:val="24"/>
    </w:rPr>
  </w:style>
  <w:style w:type="paragraph" w:styleId="745">
    <w:name w:val="Title"/>
    <w:basedOn w:val="708"/>
    <w:next w:val="708"/>
    <w:link w:val="784"/>
    <w:uiPriority w:val="10"/>
    <w:qFormat/>
    <w:pPr>
      <w:contextualSpacing/>
      <w:spacing w:before="300" w:after="200"/>
    </w:pPr>
    <w:rPr>
      <w:sz w:val="48"/>
      <w:szCs w:val="48"/>
    </w:rPr>
  </w:style>
  <w:style w:type="paragraph" w:styleId="746">
    <w:name w:val="Body Text First Indent"/>
    <w:basedOn w:val="724"/>
    <w:link w:val="925"/>
    <w:uiPriority w:val="99"/>
    <w:unhideWhenUsed/>
    <w:qFormat/>
    <w:pPr>
      <w:ind w:firstLine="420"/>
    </w:pPr>
    <w:rPr>
      <w:rFonts w:ascii="Times New Roman" w:hAnsi="Times New Roman" w:eastAsia="宋体" w:cs="Times New Roman"/>
    </w:rPr>
  </w:style>
  <w:style w:type="table" w:styleId="747">
    <w:name w:val="Table Grid"/>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basedOn w:val="718"/>
    <w:uiPriority w:val="22"/>
    <w:qFormat/>
    <w:rPr>
      <w:b/>
    </w:rPr>
  </w:style>
  <w:style w:type="character" w:styleId="749">
    <w:name w:val="endnote reference"/>
    <w:basedOn w:val="718"/>
    <w:uiPriority w:val="99"/>
    <w:semiHidden/>
    <w:unhideWhenUsed/>
    <w:qFormat/>
    <w:rPr>
      <w:vertAlign w:val="superscript"/>
    </w:rPr>
  </w:style>
  <w:style w:type="character" w:styleId="750">
    <w:name w:val="Hyperlink"/>
    <w:uiPriority w:val="99"/>
    <w:unhideWhenUsed/>
    <w:qFormat/>
    <w:rPr>
      <w:color w:val="0563c1" w:themeColor="hyperlink"/>
      <w:u w:val="single"/>
      <w14:textFill>
        <w14:solidFill>
          <w14:schemeClr w14:val="hlink"/>
        </w14:solidFill>
      </w14:textFill>
    </w:rPr>
  </w:style>
  <w:style w:type="character" w:styleId="751">
    <w:name w:val="footnote reference"/>
    <w:basedOn w:val="718"/>
    <w:uiPriority w:val="99"/>
    <w:unhideWhenUsed/>
    <w:qFormat/>
    <w:rPr>
      <w:vertAlign w:val="superscript"/>
    </w:rPr>
  </w:style>
  <w:style w:type="paragraph" w:styleId="752" w:customStyle="1">
    <w:name w:val="文本块1"/>
    <w:basedOn w:val="708"/>
    <w:uiPriority w:val="99"/>
    <w:qFormat/>
    <w:pPr>
      <w:ind w:left="1440" w:right="1440"/>
      <w:spacing w:after="120"/>
    </w:pPr>
    <w:rPr>
      <w:rFonts w:ascii="Times New Roman" w:hAnsi="Times New Roman"/>
    </w:rPr>
  </w:style>
  <w:style w:type="paragraph" w:styleId="753" w:customStyle="1">
    <w:name w:val="首行缩进"/>
    <w:basedOn w:val="708"/>
    <w:uiPriority w:val="0"/>
    <w:qFormat/>
    <w:pPr>
      <w:ind w:firstLine="480"/>
      <w:spacing w:line="360" w:lineRule="auto"/>
    </w:pPr>
    <w:rPr>
      <w:rFonts w:ascii="宋体" w:hAnsi="宋体" w:cs="宋体"/>
      <w:sz w:val="24"/>
    </w:rPr>
  </w:style>
  <w:style w:type="paragraph" w:styleId="754" w:customStyle="1">
    <w:name w:val="TOC Heading"/>
    <w:uiPriority w:val="39"/>
    <w:unhideWhenUsed/>
    <w:qFormat/>
    <w:rPr>
      <w:rFonts w:hint="default" w:ascii="Times New Roman" w:hAnsi="Times New Roman" w:eastAsia="宋体" w:cs="Times New Roman"/>
    </w:rPr>
  </w:style>
  <w:style w:type="character" w:styleId="755" w:customStyle="1">
    <w:name w:val="标题 2 Char"/>
    <w:basedOn w:val="718"/>
    <w:link w:val="710"/>
    <w:uiPriority w:val="9"/>
    <w:qFormat/>
    <w:rPr>
      <w:rFonts w:ascii="Arial" w:hAnsi="Arial" w:eastAsia="Arial" w:cs="Arial"/>
      <w:sz w:val="34"/>
    </w:rPr>
  </w:style>
  <w:style w:type="character" w:styleId="756" w:customStyle="1">
    <w:name w:val="标题 3 Char"/>
    <w:basedOn w:val="718"/>
    <w:link w:val="711"/>
    <w:uiPriority w:val="9"/>
    <w:qFormat/>
    <w:rPr>
      <w:rFonts w:ascii="Arial" w:hAnsi="Arial" w:eastAsia="Arial" w:cs="Arial"/>
      <w:sz w:val="30"/>
      <w:szCs w:val="30"/>
    </w:rPr>
  </w:style>
  <w:style w:type="paragraph" w:styleId="757" w:customStyle="1">
    <w:name w:val="TOC 标题1"/>
    <w:uiPriority w:val="39"/>
    <w:unhideWhenUsed/>
    <w:qFormat/>
    <w:rPr>
      <w:rFonts w:hint="default" w:ascii="Times New Roman" w:hAnsi="Times New Roman" w:eastAsia="宋体" w:cs="Times New Roman"/>
      <w:lang w:val="en-US" w:eastAsia="zh-CN" w:bidi="ar-SA"/>
    </w:rPr>
  </w:style>
  <w:style w:type="character" w:styleId="758" w:customStyle="1">
    <w:name w:val="Heading 1 Char"/>
    <w:basedOn w:val="718"/>
    <w:uiPriority w:val="9"/>
    <w:qFormat/>
    <w:rPr>
      <w:rFonts w:ascii="Arial" w:hAnsi="Arial" w:eastAsia="Arial" w:cs="Arial"/>
      <w:sz w:val="40"/>
      <w:szCs w:val="40"/>
    </w:rPr>
  </w:style>
  <w:style w:type="character" w:styleId="759" w:customStyle="1">
    <w:name w:val="Heading 2 Char"/>
    <w:basedOn w:val="718"/>
    <w:uiPriority w:val="9"/>
    <w:qFormat/>
    <w:rPr>
      <w:rFonts w:ascii="Arial" w:hAnsi="Arial" w:eastAsia="Arial" w:cs="Arial"/>
      <w:sz w:val="34"/>
    </w:rPr>
  </w:style>
  <w:style w:type="character" w:styleId="760" w:customStyle="1">
    <w:name w:val="Heading 3 Char"/>
    <w:basedOn w:val="718"/>
    <w:uiPriority w:val="9"/>
    <w:qFormat/>
    <w:rPr>
      <w:rFonts w:ascii="Arial" w:hAnsi="Arial" w:eastAsia="Arial" w:cs="Arial"/>
      <w:sz w:val="30"/>
      <w:szCs w:val="30"/>
    </w:rPr>
  </w:style>
  <w:style w:type="character" w:styleId="761" w:customStyle="1">
    <w:name w:val="Heading 4 Char"/>
    <w:basedOn w:val="718"/>
    <w:uiPriority w:val="9"/>
    <w:qFormat/>
    <w:rPr>
      <w:rFonts w:ascii="Arial" w:hAnsi="Arial" w:eastAsia="Arial" w:cs="Arial"/>
      <w:b/>
      <w:bCs/>
      <w:sz w:val="26"/>
      <w:szCs w:val="26"/>
    </w:rPr>
  </w:style>
  <w:style w:type="character" w:styleId="762" w:customStyle="1">
    <w:name w:val="Heading 5 Char"/>
    <w:basedOn w:val="718"/>
    <w:uiPriority w:val="9"/>
    <w:qFormat/>
    <w:rPr>
      <w:rFonts w:ascii="Arial" w:hAnsi="Arial" w:eastAsia="Arial" w:cs="Arial"/>
      <w:b/>
      <w:bCs/>
      <w:sz w:val="24"/>
      <w:szCs w:val="24"/>
    </w:rPr>
  </w:style>
  <w:style w:type="character" w:styleId="763" w:customStyle="1">
    <w:name w:val="Heading 6 Char"/>
    <w:basedOn w:val="718"/>
    <w:uiPriority w:val="9"/>
    <w:qFormat/>
    <w:rPr>
      <w:rFonts w:ascii="Arial" w:hAnsi="Arial" w:eastAsia="Arial" w:cs="Arial"/>
      <w:b/>
      <w:bCs/>
      <w:sz w:val="22"/>
      <w:szCs w:val="22"/>
    </w:rPr>
  </w:style>
  <w:style w:type="character" w:styleId="764" w:customStyle="1">
    <w:name w:val="Heading 7 Char"/>
    <w:basedOn w:val="718"/>
    <w:uiPriority w:val="9"/>
    <w:qFormat/>
    <w:rPr>
      <w:rFonts w:ascii="Arial" w:hAnsi="Arial" w:eastAsia="Arial" w:cs="Arial"/>
      <w:b/>
      <w:bCs/>
      <w:i/>
      <w:iCs/>
      <w:sz w:val="22"/>
      <w:szCs w:val="22"/>
    </w:rPr>
  </w:style>
  <w:style w:type="character" w:styleId="765" w:customStyle="1">
    <w:name w:val="Heading 8 Char"/>
    <w:basedOn w:val="718"/>
    <w:uiPriority w:val="9"/>
    <w:qFormat/>
    <w:rPr>
      <w:rFonts w:ascii="Arial" w:hAnsi="Arial" w:eastAsia="Arial" w:cs="Arial"/>
      <w:i/>
      <w:iCs/>
      <w:sz w:val="22"/>
      <w:szCs w:val="22"/>
    </w:rPr>
  </w:style>
  <w:style w:type="character" w:styleId="766" w:customStyle="1">
    <w:name w:val="Heading 9 Char"/>
    <w:basedOn w:val="718"/>
    <w:uiPriority w:val="9"/>
    <w:qFormat/>
    <w:rPr>
      <w:rFonts w:ascii="Arial" w:hAnsi="Arial" w:eastAsia="Arial" w:cs="Arial"/>
      <w:i/>
      <w:iCs/>
      <w:sz w:val="21"/>
      <w:szCs w:val="21"/>
    </w:rPr>
  </w:style>
  <w:style w:type="character" w:styleId="767" w:customStyle="1">
    <w:name w:val="Title Char"/>
    <w:basedOn w:val="718"/>
    <w:uiPriority w:val="10"/>
    <w:qFormat/>
    <w:rPr>
      <w:sz w:val="48"/>
      <w:szCs w:val="48"/>
    </w:rPr>
  </w:style>
  <w:style w:type="character" w:styleId="768" w:customStyle="1">
    <w:name w:val="Subtitle Char"/>
    <w:basedOn w:val="718"/>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character" w:styleId="771" w:customStyle="1">
    <w:name w:val="Header Char"/>
    <w:basedOn w:val="718"/>
    <w:uiPriority w:val="99"/>
    <w:qFormat/>
  </w:style>
  <w:style w:type="character" w:styleId="772" w:customStyle="1">
    <w:name w:val="Caption Char"/>
    <w:uiPriority w:val="99"/>
    <w:qFormat/>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character" w:styleId="775" w:customStyle="1">
    <w:name w:val="标题 1 Char"/>
    <w:basedOn w:val="718"/>
    <w:link w:val="709"/>
    <w:uiPriority w:val="9"/>
    <w:qFormat/>
    <w:rPr>
      <w:rFonts w:ascii="Arial" w:hAnsi="Arial" w:eastAsia="Arial" w:cs="Arial"/>
      <w:sz w:val="40"/>
      <w:szCs w:val="40"/>
    </w:rPr>
  </w:style>
  <w:style w:type="character" w:styleId="776" w:customStyle="1">
    <w:name w:val="标题 4 Char"/>
    <w:basedOn w:val="718"/>
    <w:link w:val="712"/>
    <w:uiPriority w:val="9"/>
    <w:qFormat/>
    <w:rPr>
      <w:rFonts w:ascii="Arial" w:hAnsi="Arial" w:eastAsia="Arial" w:cs="Arial"/>
      <w:b/>
      <w:bCs/>
      <w:sz w:val="26"/>
      <w:szCs w:val="26"/>
    </w:rPr>
  </w:style>
  <w:style w:type="character" w:styleId="777" w:customStyle="1">
    <w:name w:val="标题 5 Char"/>
    <w:basedOn w:val="718"/>
    <w:link w:val="713"/>
    <w:uiPriority w:val="9"/>
    <w:qFormat/>
    <w:rPr>
      <w:rFonts w:ascii="Arial" w:hAnsi="Arial" w:eastAsia="Arial" w:cs="Arial"/>
      <w:b/>
      <w:bCs/>
      <w:sz w:val="24"/>
      <w:szCs w:val="24"/>
    </w:rPr>
  </w:style>
  <w:style w:type="character" w:styleId="778" w:customStyle="1">
    <w:name w:val="标题 6 Char"/>
    <w:basedOn w:val="718"/>
    <w:link w:val="714"/>
    <w:uiPriority w:val="9"/>
    <w:qFormat/>
    <w:rPr>
      <w:rFonts w:ascii="Arial" w:hAnsi="Arial" w:eastAsia="Arial" w:cs="Arial"/>
      <w:b/>
      <w:bCs/>
      <w:sz w:val="22"/>
      <w:szCs w:val="22"/>
    </w:rPr>
  </w:style>
  <w:style w:type="character" w:styleId="779" w:customStyle="1">
    <w:name w:val="标题 7 Char"/>
    <w:basedOn w:val="718"/>
    <w:link w:val="715"/>
    <w:uiPriority w:val="9"/>
    <w:qFormat/>
    <w:rPr>
      <w:rFonts w:ascii="Arial" w:hAnsi="Arial" w:eastAsia="Arial" w:cs="Arial"/>
      <w:b/>
      <w:bCs/>
      <w:i/>
      <w:iCs/>
      <w:sz w:val="22"/>
      <w:szCs w:val="22"/>
    </w:rPr>
  </w:style>
  <w:style w:type="character" w:styleId="780" w:customStyle="1">
    <w:name w:val="标题 8 Char"/>
    <w:basedOn w:val="718"/>
    <w:link w:val="716"/>
    <w:uiPriority w:val="9"/>
    <w:qFormat/>
    <w:rPr>
      <w:rFonts w:ascii="Arial" w:hAnsi="Arial" w:eastAsia="Arial" w:cs="Arial"/>
      <w:i/>
      <w:iCs/>
      <w:sz w:val="22"/>
      <w:szCs w:val="22"/>
    </w:rPr>
  </w:style>
  <w:style w:type="character" w:styleId="781" w:customStyle="1">
    <w:name w:val="标题 9 Char"/>
    <w:basedOn w:val="718"/>
    <w:link w:val="717"/>
    <w:uiPriority w:val="9"/>
    <w:qFormat/>
    <w:rPr>
      <w:rFonts w:ascii="Arial" w:hAnsi="Arial" w:eastAsia="Arial" w:cs="Arial"/>
      <w:i/>
      <w:iCs/>
      <w:sz w:val="21"/>
      <w:szCs w:val="21"/>
    </w:rPr>
  </w:style>
  <w:style w:type="paragraph" w:styleId="782">
    <w:name w:val="List Paragraph"/>
    <w:basedOn w:val="708"/>
    <w:uiPriority w:val="34"/>
    <w:qFormat/>
    <w:pPr>
      <w:contextualSpacing/>
      <w:ind w:left="720"/>
    </w:pPr>
  </w:style>
  <w:style w:type="paragraph" w:styleId="783">
    <w:name w:val="No Spacing"/>
    <w:uiPriority w:val="1"/>
    <w:qFormat/>
    <w:rPr>
      <w:rFonts w:hint="default" w:ascii="Times New Roman" w:hAnsi="Times New Roman" w:eastAsia="宋体" w:cs="Times New Roman"/>
      <w:lang w:val="en-US" w:eastAsia="zh-CN" w:bidi="ar-SA"/>
    </w:rPr>
  </w:style>
  <w:style w:type="character" w:styleId="784" w:customStyle="1">
    <w:name w:val="标题 Char"/>
    <w:basedOn w:val="718"/>
    <w:link w:val="745"/>
    <w:uiPriority w:val="10"/>
    <w:qFormat/>
    <w:rPr>
      <w:sz w:val="48"/>
      <w:szCs w:val="48"/>
    </w:rPr>
  </w:style>
  <w:style w:type="character" w:styleId="785" w:customStyle="1">
    <w:name w:val="副标题 Char"/>
    <w:basedOn w:val="718"/>
    <w:link w:val="737"/>
    <w:uiPriority w:val="11"/>
    <w:qFormat/>
    <w:rPr>
      <w:sz w:val="24"/>
      <w:szCs w:val="24"/>
    </w:rPr>
  </w:style>
  <w:style w:type="paragraph" w:styleId="786">
    <w:name w:val="Quote"/>
    <w:basedOn w:val="708"/>
    <w:next w:val="708"/>
    <w:link w:val="787"/>
    <w:uiPriority w:val="29"/>
    <w:qFormat/>
    <w:pPr>
      <w:ind w:left="720" w:right="720"/>
    </w:pPr>
    <w:rPr>
      <w:i/>
    </w:rPr>
  </w:style>
  <w:style w:type="character" w:styleId="787" w:customStyle="1">
    <w:name w:val="引用 Char"/>
    <w:link w:val="786"/>
    <w:uiPriority w:val="29"/>
    <w:qFormat/>
    <w:rPr>
      <w:i/>
    </w:rPr>
  </w:style>
  <w:style w:type="paragraph" w:styleId="788">
    <w:name w:val="Intense Quote"/>
    <w:basedOn w:val="708"/>
    <w:next w:val="708"/>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Char"/>
    <w:link w:val="788"/>
    <w:uiPriority w:val="30"/>
    <w:qFormat/>
    <w:rPr>
      <w:i/>
    </w:rPr>
  </w:style>
  <w:style w:type="character" w:styleId="790" w:customStyle="1">
    <w:name w:val="页眉 Char"/>
    <w:basedOn w:val="718"/>
    <w:link w:val="734"/>
    <w:uiPriority w:val="99"/>
    <w:qFormat/>
  </w:style>
  <w:style w:type="character" w:styleId="791" w:customStyle="1">
    <w:name w:val="Footer Char"/>
    <w:basedOn w:val="718"/>
    <w:uiPriority w:val="99"/>
    <w:qFormat/>
  </w:style>
  <w:style w:type="character" w:styleId="792" w:customStyle="1">
    <w:name w:val="页脚 Char"/>
    <w:link w:val="733"/>
    <w:uiPriority w:val="99"/>
    <w:qFormat/>
  </w:style>
  <w:style w:type="table" w:styleId="793" w:customStyle="1">
    <w:name w:val="Table Grid Light"/>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4" w:customStyle="1">
    <w:name w:val="Plain Table 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1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3" w:customStyle="1">
    <w:name w:val="Grid Table 3"/>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1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1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2" w:customStyle="1">
    <w:name w:val="Grid Table 4 - Accent 2"/>
    <w:basedOn w:val="7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3" w:customStyle="1">
    <w:name w:val="Grid Table 4 - Accent 3"/>
    <w:basedOn w:val="7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4" w:customStyle="1">
    <w:name w:val="Grid Table 4 - Accent 4"/>
    <w:basedOn w:val="71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5" w:customStyle="1">
    <w:name w:val="Grid Table 4 - Accent 5"/>
    <w:basedOn w:val="71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6" w:customStyle="1">
    <w:name w:val="Grid Table 4 - Accent 6"/>
    <w:basedOn w:val="7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7" w:customStyle="1">
    <w:name w:val="Grid Table 5 Dark"/>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9"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0"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1"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2"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3"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4" w:customStyle="1">
    <w:name w:val="Grid Table 6 Colorful"/>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basedOn w:val="71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7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7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8" w:customStyle="1">
    <w:name w:val="Grid Table 6 Colorful - Accent 4"/>
    <w:basedOn w:val="7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71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0" w:customStyle="1">
    <w:name w:val="Grid Table 6 Colorful - Accent 6"/>
    <w:basedOn w:val="7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1" w:customStyle="1">
    <w:name w:val="Grid Table 7 Colorful"/>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1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1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1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1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1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1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basedOn w:val="71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1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1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1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1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1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1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5" w:customStyle="1">
    <w:name w:val="List Table 2"/>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71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7" w:customStyle="1">
    <w:name w:val="List Table 2 - Accent 2"/>
    <w:basedOn w:val="71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8" w:customStyle="1">
    <w:name w:val="List Table 2 - Accent 3"/>
    <w:basedOn w:val="71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9" w:customStyle="1">
    <w:name w:val="List Table 2 - Accent 4"/>
    <w:basedOn w:val="71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0" w:customStyle="1">
    <w:name w:val="List Table 2 - Accent 5"/>
    <w:basedOn w:val="71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1" w:customStyle="1">
    <w:name w:val="List Table 2 - Accent 6"/>
    <w:basedOn w:val="7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2" w:customStyle="1">
    <w:name w:val="List Table 3"/>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1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4" w:customStyle="1">
    <w:name w:val="List Table 3 - Accent 2"/>
    <w:basedOn w:val="7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1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1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9" w:customStyle="1">
    <w:name w:val="List Table 4"/>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1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4 - Accent 2"/>
    <w:basedOn w:val="7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2" w:customStyle="1">
    <w:name w:val="List Table 4 - Accent 3"/>
    <w:basedOn w:val="7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3" w:customStyle="1">
    <w:name w:val="List Table 4 - Accent 4"/>
    <w:basedOn w:val="71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4" w:customStyle="1">
    <w:name w:val="List Table 4 - Accent 5"/>
    <w:basedOn w:val="71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5" w:customStyle="1">
    <w:name w:val="List Table 4 - Accent 6"/>
    <w:basedOn w:val="7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6" w:customStyle="1">
    <w:name w:val="List Table 5 Dark"/>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basedOn w:val="71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basedOn w:val="71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basedOn w:val="7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basedOn w:val="71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basedOn w:val="71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basedOn w:val="7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7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basedOn w:val="71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5" w:customStyle="1">
    <w:name w:val="List Table 6 Colorful - Accent 2"/>
    <w:basedOn w:val="71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6" w:customStyle="1">
    <w:name w:val="List Table 6 Colorful - Accent 3"/>
    <w:basedOn w:val="71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7" w:customStyle="1">
    <w:name w:val="List Table 6 Colorful - Accent 4"/>
    <w:basedOn w:val="71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8" w:customStyle="1">
    <w:name w:val="List Table 6 Colorful - Accent 5"/>
    <w:basedOn w:val="71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9" w:customStyle="1">
    <w:name w:val="List Table 6 Colorful - Accent 6"/>
    <w:basedOn w:val="71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0" w:customStyle="1">
    <w:name w:val="List Table 7 Colorful"/>
    <w:basedOn w:val="7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1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1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1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1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1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1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9" w:customStyle="1">
    <w:name w:val="Lined - Accent 2"/>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0" w:customStyle="1">
    <w:name w:val="Lined - Accent 3"/>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1" w:customStyle="1">
    <w:name w:val="Lined - Accent 4"/>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2" w:customStyle="1">
    <w:name w:val="Lined - Accent 5"/>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3" w:customStyle="1">
    <w:name w:val="Lined - Accent 6"/>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4"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71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6" w:customStyle="1">
    <w:name w:val="Bordered &amp; Lined - Accent 2"/>
    <w:basedOn w:val="7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7" w:customStyle="1">
    <w:name w:val="Bordered &amp; Lined - Accent 3"/>
    <w:basedOn w:val="7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Bordered &amp; Lined - Accent 4"/>
    <w:basedOn w:val="71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9" w:customStyle="1">
    <w:name w:val="Bordered &amp; Lined - Accent 5"/>
    <w:basedOn w:val="71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Bordered &amp; Lined - Accent 6"/>
    <w:basedOn w:val="71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7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3" w:customStyle="1">
    <w:name w:val="Bordered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4" w:customStyle="1">
    <w:name w:val="Bordered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5" w:customStyle="1">
    <w:name w:val="Bordered - Accent 4"/>
    <w:basedOn w:val="7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6" w:customStyle="1">
    <w:name w:val="Bordered - Accent 5"/>
    <w:basedOn w:val="7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7" w:customStyle="1">
    <w:name w:val="Bordered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8" w:customStyle="1">
    <w:name w:val="脚注文本 Char"/>
    <w:link w:val="738"/>
    <w:uiPriority w:val="99"/>
    <w:qFormat/>
    <w:rPr>
      <w:sz w:val="18"/>
    </w:rPr>
  </w:style>
  <w:style w:type="character" w:styleId="919" w:customStyle="1">
    <w:name w:val="尾注文本 Char"/>
    <w:link w:val="731"/>
    <w:uiPriority w:val="99"/>
    <w:qFormat/>
    <w:rPr>
      <w:sz w:val="20"/>
    </w:rPr>
  </w:style>
  <w:style w:type="paragraph" w:styleId="920" w:customStyle="1">
    <w:name w:val="TOC 标题11"/>
    <w:uiPriority w:val="39"/>
    <w:unhideWhenUsed/>
    <w:qFormat/>
    <w:rPr>
      <w:rFonts w:hint="default" w:ascii="Times New Roman" w:hAnsi="Times New Roman" w:eastAsia="宋体" w:cs="Times New Roman"/>
      <w:lang w:val="en-US" w:eastAsia="zh-CN" w:bidi="ar-SA"/>
    </w:rPr>
  </w:style>
  <w:style w:type="paragraph" w:styleId="921" w:customStyle="1">
    <w:name w:val="4"/>
    <w:basedOn w:val="708"/>
    <w:next w:val="740"/>
    <w:uiPriority w:val="0"/>
    <w:qFormat/>
    <w:pPr>
      <w:ind w:firstLine="420"/>
      <w:spacing w:line="360" w:lineRule="auto"/>
    </w:pPr>
    <w:rPr>
      <w:color w:val="ff0000"/>
      <w:sz w:val="24"/>
    </w:rPr>
  </w:style>
  <w:style w:type="paragraph" w:styleId="922" w:customStyle="1">
    <w:name w:val="纯文本1"/>
    <w:basedOn w:val="708"/>
    <w:uiPriority w:val="0"/>
    <w:qFormat/>
    <w:rPr>
      <w:rFonts w:ascii="宋体" w:hAnsi="Courier New" w:eastAsia="楷体_GB2312"/>
      <w:sz w:val="28"/>
      <w:szCs w:val="20"/>
    </w:rPr>
  </w:style>
  <w:style w:type="character" w:styleId="923" w:customStyle="1">
    <w:name w:val="正文文本 Char"/>
    <w:basedOn w:val="718"/>
    <w:link w:val="724"/>
    <w:uiPriority w:val="0"/>
    <w:qFormat/>
    <w:rPr>
      <w:rFonts w:ascii="Times New Roman" w:hAnsi="Times New Roman" w:eastAsia="宋体" w:cs="Times New Roman"/>
      <w:sz w:val="21"/>
      <w:szCs w:val="21"/>
    </w:rPr>
  </w:style>
  <w:style w:type="character" w:styleId="924" w:customStyle="1">
    <w:name w:val="NormalCharacter"/>
    <w:uiPriority w:val="99"/>
    <w:qFormat/>
    <w:rPr>
      <w:rFonts w:ascii="Calibri" w:hAnsi="Calibri" w:eastAsia="宋体"/>
    </w:rPr>
  </w:style>
  <w:style w:type="character" w:styleId="925" w:customStyle="1">
    <w:name w:val="正文首行缩进 Char"/>
    <w:basedOn w:val="923"/>
    <w:link w:val="746"/>
    <w:uiPriority w:val="99"/>
    <w:qFormat/>
    <w:rPr>
      <w:rFonts w:ascii="Times New Roman" w:hAnsi="Times New Roman" w:eastAsia="宋体" w:cs="Times New Roman"/>
      <w:sz w:val="21"/>
      <w:szCs w:val="24"/>
    </w:rPr>
  </w:style>
  <w:style w:type="paragraph" w:styleId="926" w:customStyle="1">
    <w:name w:val="UserStyle_10"/>
    <w:basedOn w:val="708"/>
    <w:uiPriority w:val="99"/>
    <w:qFormat/>
    <w:pPr>
      <w:ind w:firstLine="480"/>
      <w:spacing w:line="360" w:lineRule="auto"/>
      <w:widowControl/>
    </w:pPr>
    <w:rPr>
      <w:rFonts w:ascii="宋体" w:hAnsi="宋体" w:eastAsia="宋体" w:cs="Times New Roman"/>
      <w:sz w:val="24"/>
      <w:szCs w:val="21"/>
    </w:rPr>
  </w:style>
  <w:style w:type="paragraph" w:styleId="927" w:customStyle="1">
    <w:name w:val="普通正文"/>
    <w:basedOn w:val="708"/>
    <w:uiPriority w:val="0"/>
    <w:qFormat/>
    <w:pPr>
      <w:ind w:firstLine="480"/>
      <w:jc w:val="left"/>
      <w:spacing w:before="120" w:after="120" w:line="360" w:lineRule="auto"/>
    </w:pPr>
    <w:rPr>
      <w:rFonts w:ascii="Arial" w:hAnsi="Arial" w:eastAsia="等线" w:cs="Arial"/>
      <w:sz w:val="24"/>
    </w:rPr>
  </w:style>
  <w:style w:type="character" w:styleId="928" w:customStyle="1">
    <w:name w:val="font11"/>
    <w:basedOn w:val="718"/>
    <w:uiPriority w:val="0"/>
    <w:qFormat/>
    <w:rPr>
      <w:rFonts w:hint="eastAsia" w:ascii="宋体" w:hAnsi="宋体" w:eastAsia="宋体" w:cs="宋体"/>
      <w:color w:val="000000"/>
      <w:sz w:val="16"/>
      <w:szCs w:val="16"/>
      <w:u w:val="none"/>
    </w:rPr>
  </w:style>
  <w:style w:type="paragraph" w:styleId="929" w:customStyle="1">
    <w:name w:val="页眉1"/>
    <w:basedOn w:val="708"/>
    <w:uiPriority w:val="0"/>
    <w:qFormat/>
    <w:pPr>
      <w:jc w:val="center"/>
      <w:tabs>
        <w:tab w:val="center" w:pos="4153" w:leader="none"/>
        <w:tab w:val="right" w:pos="8306" w:leader="none"/>
      </w:tabs>
      <w:pBdr>
        <w:bottom w:val="single" w:color="000000" w:sz="6" w:space="1"/>
      </w:pBdr>
    </w:pPr>
    <w:rPr>
      <w:sz w:val="18"/>
      <w:szCs w:val="18"/>
    </w:rPr>
  </w:style>
  <w:style w:type="paragraph" w:styleId="930" w:customStyle="1">
    <w:name w:val="目录 11"/>
    <w:basedOn w:val="708"/>
    <w:next w:val="708"/>
    <w:uiPriority w:val="39"/>
    <w:unhideWhenUsed/>
    <w:qFormat/>
    <w:pPr>
      <w:spacing w:after="57"/>
    </w:pPr>
  </w:style>
  <w:style w:type="paragraph" w:styleId="931" w:customStyle="1">
    <w:name w:val="标题 11"/>
    <w:basedOn w:val="708"/>
    <w:next w:val="708"/>
    <w:uiPriority w:val="0"/>
    <w:qFormat/>
    <w:pPr>
      <w:jc w:val="center"/>
      <w:keepNext/>
      <w:outlineLvl w:val="0"/>
    </w:pPr>
    <w:rPr>
      <w:rFonts w:ascii="楷体_GB2312" w:eastAsia="楷体_GB2312"/>
      <w:sz w:val="28"/>
      <w:szCs w:val="28"/>
    </w:rPr>
  </w:style>
  <w:style w:type="paragraph" w:styleId="932" w:customStyle="1">
    <w:name w:val="普通(网站)1"/>
    <w:basedOn w:val="708"/>
    <w:uiPriority w:val="99"/>
    <w:qFormat/>
    <w:pPr>
      <w:jc w:val="left"/>
      <w:spacing w:before="100" w:beforeAutospacing="1" w:after="100" w:afterAutospacing="1"/>
      <w:widowControl/>
    </w:pPr>
    <w:rPr>
      <w:rFonts w:ascii="宋体" w:hAnsi="宋体" w:cs="宋体"/>
      <w:sz w:val="24"/>
    </w:rPr>
  </w:style>
  <w:style w:type="paragraph" w:styleId="933" w:customStyle="1">
    <w:name w:val="正文缩进1"/>
    <w:basedOn w:val="708"/>
    <w:uiPriority w:val="0"/>
    <w:qFormat/>
    <w:pPr>
      <w:ind w:firstLine="420"/>
    </w:pPr>
  </w:style>
  <w:style w:type="paragraph" w:styleId="934" w:customStyle="1">
    <w:name w:val="普通(网站)11"/>
    <w:basedOn w:val="708"/>
    <w:uiPriority w:val="0"/>
    <w:unhideWhenUsed/>
    <w:qFormat/>
    <w:pPr>
      <w:jc w:val="left"/>
      <w:spacing w:before="100" w:beforeAutospacing="1" w:after="100" w:afterAutospacing="1"/>
      <w:widowControl/>
    </w:pPr>
    <w:rPr>
      <w:rFonts w:ascii="宋体" w:hAnsi="宋体" w:cs="宋体"/>
      <w:sz w:val="24"/>
    </w:rPr>
  </w:style>
  <w:style w:type="character" w:styleId="935" w:customStyle="1">
    <w:name w:val="font31"/>
    <w:basedOn w:val="718"/>
    <w:uiPriority w:val="0"/>
    <w:qFormat/>
    <w:rPr>
      <w:rFonts w:hint="eastAsia" w:ascii="宋体" w:hAnsi="宋体" w:eastAsia="宋体" w:cs="宋体"/>
      <w:color w:val="000000"/>
      <w:sz w:val="22"/>
      <w:szCs w:val="22"/>
      <w:u w:val="none"/>
    </w:rPr>
  </w:style>
  <w:style w:type="character" w:styleId="936" w:customStyle="1">
    <w:name w:val="font01"/>
    <w:basedOn w:val="718"/>
    <w:uiPriority w:val="0"/>
    <w:qFormat/>
    <w:rPr>
      <w:rFonts w:hint="default" w:ascii="Tahoma" w:hAnsi="Tahoma" w:eastAsia="Tahoma" w:cs="Tahoma"/>
      <w:color w:val="000000"/>
      <w:sz w:val="22"/>
      <w:szCs w:val="22"/>
      <w:u w:val="none"/>
    </w:rPr>
  </w:style>
  <w:style w:type="character" w:styleId="937" w:customStyle="1">
    <w:name w:val="font41"/>
    <w:basedOn w:val="718"/>
    <w:uiPriority w:val="0"/>
    <w:qFormat/>
    <w:rPr>
      <w:rFonts w:hint="default" w:ascii="Tahoma" w:hAnsi="Tahoma" w:eastAsia="Tahoma" w:cs="Tahoma"/>
      <w:color w:val="000000"/>
      <w:sz w:val="22"/>
      <w:szCs w:val="22"/>
      <w:u w:val="none"/>
    </w:rPr>
  </w:style>
  <w:style w:type="character" w:styleId="938" w:customStyle="1">
    <w:name w:val="font51"/>
    <w:basedOn w:val="718"/>
    <w:uiPriority w:val="0"/>
    <w:qFormat/>
    <w:rPr>
      <w:rFonts w:hint="eastAsia" w:ascii="宋体" w:hAnsi="宋体" w:eastAsia="宋体" w:cs="宋体"/>
      <w:color w:val="000000"/>
      <w:sz w:val="22"/>
      <w:szCs w:val="22"/>
      <w:u w:val="none"/>
    </w:rPr>
  </w:style>
  <w:style w:type="character" w:styleId="939" w:customStyle="1">
    <w:name w:val="font71"/>
    <w:basedOn w:val="718"/>
    <w:uiPriority w:val="0"/>
    <w:qFormat/>
    <w:rPr>
      <w:rFonts w:hint="eastAsia" w:ascii="宋体" w:hAnsi="宋体" w:eastAsia="宋体" w:cs="宋体"/>
      <w:color w:val="ff0000"/>
      <w:sz w:val="22"/>
      <w:szCs w:val="22"/>
      <w:u w:val="none"/>
    </w:rPr>
  </w:style>
  <w:style w:type="character" w:styleId="940" w:customStyle="1">
    <w:name w:val="批注框文本 Char"/>
    <w:basedOn w:val="718"/>
    <w:link w:val="732"/>
    <w:uiPriority w:val="99"/>
    <w:semiHidden/>
    <w:qFormat/>
    <w:rPr>
      <w:rFonts w:asciiTheme="minorHAnsi" w:hAnsiTheme="minorHAnsi" w:eastAsiaTheme="minorEastAsia" w:cstheme="minorBidi"/>
      <w:sz w:val="18"/>
      <w:szCs w:val="18"/>
    </w:rPr>
  </w:style>
  <w:style w:type="paragraph" w:styleId="941" w:customStyle="1">
    <w:name w:val="Table Text"/>
    <w:basedOn w:val="708"/>
    <w:hidden/>
    <w:uiPriority w:val="0"/>
    <w:qFormat/>
    <w:pPr>
      <w:ind w:left="0" w:right="0"/>
      <w:jc w:val="both"/>
      <w:keepLines w:val="0"/>
      <w:keepNext w:val="0"/>
      <w:spacing w:before="0" w:beforeAutospacing="0" w:after="0" w:afterAutospacing="0"/>
      <w:widowControl w:val="off"/>
      <w:suppressLineNumbers w:val="0"/>
    </w:pPr>
    <w:rPr>
      <w:rFonts w:hint="eastAsia" w:ascii="宋体" w:hAnsi="宋体" w:eastAsia="宋体" w:cs="宋体"/>
      <w:sz w:val="21"/>
      <w:szCs w:val="21"/>
      <w:lang w:val="en-US" w:eastAsia="zh-CN" w:bidi="ar"/>
    </w:rPr>
  </w:style>
  <w:style w:type="paragraph" w:styleId="942" w:customStyle="1">
    <w:name w:val="页眉12"/>
    <w:basedOn w:val="708"/>
    <w:uiPriority w:val="0"/>
    <w:qFormat/>
    <w:pPr>
      <w:jc w:val="center"/>
      <w:tabs>
        <w:tab w:val="center" w:pos="4153" w:leader="none"/>
        <w:tab w:val="right" w:pos="8306" w:leader="none"/>
      </w:tabs>
      <w:pBdr>
        <w:bottom w:val="single" w:color="000000" w:sz="6" w:space="1"/>
      </w:pBdr>
    </w:pPr>
    <w:rPr>
      <w:sz w:val="18"/>
      <w:szCs w:val="18"/>
    </w:rPr>
  </w:style>
  <w:style w:type="character" w:styleId="943" w:customStyle="1">
    <w:name w:val="NormalCharacter1"/>
    <w:uiPriority w:val="99"/>
    <w:qFormat/>
    <w:rPr>
      <w:rFonts w:ascii="Calibri" w:hAnsi="Calibri" w:eastAsia="宋体"/>
    </w:rPr>
  </w:style>
  <w:style w:type="paragraph" w:styleId="944" w:customStyle="1">
    <w:name w:val="p0"/>
    <w:basedOn w:val="708"/>
    <w:uiPriority w:val="0"/>
    <w:qFormat/>
    <w:pPr>
      <w:widowControl/>
    </w:pPr>
  </w:style>
  <w:style w:type="table" w:styleId="945" w:customStyle="1">
    <w:name w:val="Table Normal"/>
    <w:uiPriority w:val="0"/>
    <w:semiHidden/>
    <w:unhideWhenUsed/>
    <w:qFormat/>
    <w:tblPr>
      <w:tblCellMar>
        <w:left w:w="0" w:type="dxa"/>
        <w:top w:w="0" w:type="dxa"/>
        <w:right w:w="0" w:type="dxa"/>
        <w:bottom w:w="0" w:type="dxa"/>
      </w:tblCellMar>
    </w:tblPr>
  </w:style>
  <w:style w:type="numbering" w:styleId="12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范蓉</cp:lastModifiedBy>
  <cp:revision>29</cp:revision>
  <dcterms:created xsi:type="dcterms:W3CDTF">2024-11-28T02:34:00Z</dcterms:created>
  <dcterms:modified xsi:type="dcterms:W3CDTF">2025-11-17T08:58:44Z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5D68AD2ADA994D539CD67704F7CD1877_13</vt:lpwstr>
  </property>
  <property fmtid="{D5CDD505-2E9C-101B-9397-08002B2CF9AE}" pid="4" name="KSOTemplateDocerSaveRecord">
    <vt:lpwstr>eyJoZGlkIjoiODZkZDhiMGRhNjI0MjMyZGNiZjBmZTUwZmY4Yjk1MjEiLCJ1c2VySWQiOiIxNjcxNDc2OTEwIn0=</vt:lpwstr>
  </property>
</Properties>
</file>